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2B0FAEE7" w:rsidR="009B6F95" w:rsidRPr="00C803F3" w:rsidRDefault="0023321D" w:rsidP="009B6F95">
          <w:pPr>
            <w:pStyle w:val="Title1"/>
          </w:pPr>
          <w:r>
            <w:t>20</w:t>
          </w:r>
          <w:r w:rsidR="00E92B1E">
            <w:t>20/</w:t>
          </w:r>
          <w:r>
            <w:t>2</w:t>
          </w:r>
          <w:r w:rsidR="00E92B1E">
            <w:t>1</w:t>
          </w:r>
          <w:r>
            <w:t xml:space="preserve"> </w:t>
          </w:r>
          <w:r w:rsidR="00C2411D">
            <w:t xml:space="preserve">Provisional </w:t>
          </w:r>
          <w:r w:rsidR="00E92B1E">
            <w:t>Local Government Finance Settlement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47A54AE" w:rsidR="00795C95" w:rsidRDefault="004B0C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AF5F1C3" w:rsidR="009B6F95" w:rsidRDefault="0023321D" w:rsidP="00D47548">
      <w:pPr>
        <w:pStyle w:val="Title3"/>
      </w:pPr>
      <w:r>
        <w:t xml:space="preserve">This report gives an update on the </w:t>
      </w:r>
      <w:r w:rsidR="00E92B1E">
        <w:t xml:space="preserve">2020/21 </w:t>
      </w:r>
      <w:r w:rsidR="00C2411D">
        <w:t xml:space="preserve">Provisional </w:t>
      </w:r>
      <w:r w:rsidR="00E92B1E">
        <w:t>Local Government Finance Settlement and on the LGA response which was submitted to MHCLG by the closing date of 17 January having been cleared by the Chairman, Group Leaders and Lead Members of Resources Board</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30D8B1">
                <wp:simplePos x="0" y="0"/>
                <wp:positionH relativeFrom="margin">
                  <wp:align>right</wp:align>
                </wp:positionH>
                <wp:positionV relativeFrom="paragraph">
                  <wp:posOffset>71120</wp:posOffset>
                </wp:positionV>
                <wp:extent cx="57054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E12466" w:rsidRPr="00A627DD" w:rsidRDefault="00E12466" w:rsidP="00B84F31">
                                <w:pPr>
                                  <w:ind w:left="0" w:firstLine="0"/>
                                </w:pPr>
                                <w:r>
                                  <w:rPr>
                                    <w:rStyle w:val="Style6"/>
                                  </w:rPr>
                                  <w:t>Recommendations</w:t>
                                </w:r>
                              </w:p>
                            </w:sdtContent>
                          </w:sdt>
                          <w:p w14:paraId="5837A1DE" w14:textId="19FFFFB7" w:rsidR="00E12466" w:rsidRPr="003A0C2C" w:rsidRDefault="00E12466" w:rsidP="004F18D2">
                            <w:pPr>
                              <w:pStyle w:val="Title3"/>
                            </w:pPr>
                            <w:r>
                              <w:t xml:space="preserve">That members note </w:t>
                            </w:r>
                            <w:r w:rsidRPr="003A0C2C">
                              <w:t>the report.</w:t>
                            </w:r>
                          </w:p>
                          <w:p w14:paraId="69EA9C52" w14:textId="77777777" w:rsidR="008D1A6F" w:rsidRDefault="008D1A6F" w:rsidP="00E92B1E">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12466" w:rsidRPr="003A0C2C">
                                  <w:rPr>
                                    <w:rStyle w:val="Style6"/>
                                  </w:rPr>
                                  <w:t>Action</w:t>
                                </w:r>
                                <w:r>
                                  <w:rPr>
                                    <w:rStyle w:val="Style6"/>
                                  </w:rPr>
                                  <w:t>s</w:t>
                                </w:r>
                                <w:r w:rsidR="00E12466">
                                  <w:rPr>
                                    <w:rStyle w:val="Style6"/>
                                  </w:rPr>
                                  <w:t xml:space="preserve"> </w:t>
                                </w:r>
                              </w:sdtContent>
                            </w:sdt>
                          </w:p>
                          <w:p w14:paraId="5837A1E0" w14:textId="687BE581" w:rsidR="00E12466" w:rsidRPr="00B84F31" w:rsidRDefault="00E12466" w:rsidP="00E92B1E">
                            <w:pPr>
                              <w:ind w:left="0" w:firstLine="0"/>
                            </w:pPr>
                            <w:r>
                              <w:t>Officers to update members on the Final Settlement in due course.</w:t>
                            </w:r>
                          </w:p>
                          <w:p w14:paraId="5837A1E1" w14:textId="77777777" w:rsidR="00E12466" w:rsidRDefault="00E12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E12466" w:rsidRPr="00A627DD" w:rsidRDefault="00E12466" w:rsidP="00B84F31">
                          <w:pPr>
                            <w:ind w:left="0" w:firstLine="0"/>
                          </w:pPr>
                          <w:r>
                            <w:rPr>
                              <w:rStyle w:val="Style6"/>
                            </w:rPr>
                            <w:t>Recommendations</w:t>
                          </w:r>
                        </w:p>
                      </w:sdtContent>
                    </w:sdt>
                    <w:p w14:paraId="5837A1DE" w14:textId="19FFFFB7" w:rsidR="00E12466" w:rsidRPr="003A0C2C" w:rsidRDefault="00E12466" w:rsidP="004F18D2">
                      <w:pPr>
                        <w:pStyle w:val="Title3"/>
                      </w:pPr>
                      <w:r>
                        <w:t xml:space="preserve">That members note </w:t>
                      </w:r>
                      <w:r w:rsidRPr="003A0C2C">
                        <w:t>the report.</w:t>
                      </w:r>
                    </w:p>
                    <w:p w14:paraId="69EA9C52" w14:textId="77777777" w:rsidR="008D1A6F" w:rsidRDefault="008D1A6F" w:rsidP="00E92B1E">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12466" w:rsidRPr="003A0C2C">
                            <w:rPr>
                              <w:rStyle w:val="Style6"/>
                            </w:rPr>
                            <w:t>Action</w:t>
                          </w:r>
                          <w:r>
                            <w:rPr>
                              <w:rStyle w:val="Style6"/>
                            </w:rPr>
                            <w:t>s</w:t>
                          </w:r>
                          <w:r w:rsidR="00E12466">
                            <w:rPr>
                              <w:rStyle w:val="Style6"/>
                            </w:rPr>
                            <w:t xml:space="preserve"> </w:t>
                          </w:r>
                        </w:sdtContent>
                      </w:sdt>
                    </w:p>
                    <w:p w14:paraId="5837A1E0" w14:textId="687BE581" w:rsidR="00E12466" w:rsidRPr="00B84F31" w:rsidRDefault="00E12466" w:rsidP="00E92B1E">
                      <w:pPr>
                        <w:ind w:left="0" w:firstLine="0"/>
                      </w:pPr>
                      <w:r>
                        <w:t>Officers to update members on the Final Settlement in due course.</w:t>
                      </w:r>
                    </w:p>
                    <w:p w14:paraId="5837A1E1" w14:textId="77777777" w:rsidR="00E12466" w:rsidRDefault="00E1246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8" w14:textId="100B8E70" w:rsidR="009B6F95" w:rsidRPr="00C803F3" w:rsidRDefault="008D1A6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8D1A6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077C82F3" w:rsidR="009B6F95" w:rsidRDefault="008D1A6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927573" w:rsidRPr="00375564">
            <w:t>7664 3109</w:t>
          </w:r>
        </w:sdtContent>
      </w:sdt>
      <w:r w:rsidR="009B6F95" w:rsidRPr="00B5377C">
        <w:t xml:space="preserve"> </w:t>
      </w:r>
    </w:p>
    <w:p w14:paraId="5837A1AB" w14:textId="5D3800F5" w:rsidR="009B6F95" w:rsidRDefault="008D1A6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E" w14:textId="3E9F7772" w:rsidR="009B6F95" w:rsidRPr="00C803F3" w:rsidRDefault="009B6F95"/>
    <w:p w14:paraId="5837A1AF" w14:textId="769C7437" w:rsidR="000953BE" w:rsidRDefault="000953BE">
      <w:pPr>
        <w:spacing w:line="259" w:lineRule="auto"/>
        <w:ind w:left="0" w:firstLine="0"/>
      </w:pPr>
      <w:r>
        <w:br w:type="page"/>
      </w:r>
    </w:p>
    <w:p w14:paraId="5837A1B3" w14:textId="61607D9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9081572"/>
          <w:placeholder>
            <w:docPart w:val="94B72A9C30F34FD9A3E14B3BBE1328CF"/>
          </w:placeholder>
        </w:sdtPr>
        <w:sdtEndPr/>
        <w:sdtContent>
          <w:r w:rsidR="00E92B1E">
            <w:rPr>
              <w:rFonts w:eastAsiaTheme="minorEastAsia" w:cs="Arial"/>
              <w:bCs/>
              <w:lang w:eastAsia="ja-JP"/>
            </w:rPr>
            <w:t xml:space="preserve">2020/21 </w:t>
          </w:r>
          <w:r w:rsidR="00C2411D">
            <w:rPr>
              <w:rFonts w:eastAsiaTheme="minorEastAsia" w:cs="Arial"/>
              <w:bCs/>
              <w:lang w:eastAsia="ja-JP"/>
            </w:rPr>
            <w:t xml:space="preserve">Provisional </w:t>
          </w:r>
          <w:r w:rsidR="00E92B1E">
            <w:rPr>
              <w:rFonts w:eastAsiaTheme="minorEastAsia" w:cs="Arial"/>
              <w:bCs/>
              <w:lang w:eastAsia="ja-JP"/>
            </w:rPr>
            <w:t>Local Government Finance Settlement</w:t>
          </w:r>
        </w:sdtContent>
      </w:sdt>
      <w:r>
        <w:fldChar w:fldCharType="end"/>
      </w:r>
    </w:p>
    <w:p w14:paraId="5837A1B4" w14:textId="3F15F07E" w:rsidR="009B6F95" w:rsidRPr="00C803F3" w:rsidRDefault="008D1A6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E92B1E">
            <w:rPr>
              <w:rStyle w:val="Style6"/>
            </w:rPr>
            <w:t>Introduction</w:t>
          </w:r>
        </w:sdtContent>
      </w:sdt>
    </w:p>
    <w:p w14:paraId="2B8F2912" w14:textId="25FCD37B" w:rsidR="00375564" w:rsidRPr="001E6237" w:rsidRDefault="00E92B1E" w:rsidP="000265B0">
      <w:pPr>
        <w:pStyle w:val="ListParagraph"/>
      </w:pPr>
      <w:r>
        <w:t xml:space="preserve">This report gives an update on the 2020/21 </w:t>
      </w:r>
      <w:r w:rsidR="00C2411D">
        <w:t xml:space="preserve">Provisional </w:t>
      </w:r>
      <w:r>
        <w:t>Local Government Finance Settlement, which was announced in the form of a written statement on 20</w:t>
      </w:r>
      <w:r>
        <w:rPr>
          <w:vertAlign w:val="superscript"/>
        </w:rPr>
        <w:t xml:space="preserve"> </w:t>
      </w:r>
      <w:r>
        <w:t>December 2019</w:t>
      </w:r>
      <w:r w:rsidR="0023321D">
        <w:t>.</w:t>
      </w:r>
      <w:r>
        <w:t xml:space="preserve"> The LGA issued an </w:t>
      </w:r>
      <w:hyperlink r:id="rId11" w:history="1">
        <w:r w:rsidRPr="00B246BF">
          <w:rPr>
            <w:rStyle w:val="Hyperlink"/>
          </w:rPr>
          <w:t>on the day briefing</w:t>
        </w:r>
      </w:hyperlink>
      <w:r w:rsidR="00B246BF">
        <w:t xml:space="preserve"> and a </w:t>
      </w:r>
      <w:hyperlink r:id="rId12" w:history="1">
        <w:r w:rsidR="00B246BF" w:rsidRPr="00B246BF">
          <w:rPr>
            <w:rStyle w:val="Hyperlink"/>
          </w:rPr>
          <w:t>media statement</w:t>
        </w:r>
      </w:hyperlink>
      <w:r>
        <w:t>.</w:t>
      </w:r>
    </w:p>
    <w:p w14:paraId="25448B66" w14:textId="77777777" w:rsidR="000265B0" w:rsidRDefault="000265B0" w:rsidP="000265B0">
      <w:pPr>
        <w:pStyle w:val="ListParagraph"/>
        <w:numPr>
          <w:ilvl w:val="0"/>
          <w:numId w:val="0"/>
        </w:numPr>
        <w:ind w:left="360"/>
        <w:rPr>
          <w:rStyle w:val="ReportTemplate"/>
        </w:rPr>
      </w:pPr>
    </w:p>
    <w:p w14:paraId="7196BF29" w14:textId="5107E240" w:rsidR="00112ADF" w:rsidRDefault="00E92B1E" w:rsidP="002624F8">
      <w:pPr>
        <w:pStyle w:val="ListParagraph"/>
        <w:rPr>
          <w:rStyle w:val="ReportTemplate"/>
        </w:rPr>
      </w:pPr>
      <w:r>
        <w:rPr>
          <w:rStyle w:val="ReportTemplate"/>
        </w:rPr>
        <w:t xml:space="preserve">The consultation on the settlement ran until 17 January 2020. The final settlement is expected to be announced at the </w:t>
      </w:r>
      <w:r w:rsidR="000C3F2B">
        <w:rPr>
          <w:rStyle w:val="ReportTemplate"/>
        </w:rPr>
        <w:t xml:space="preserve">end of January or the </w:t>
      </w:r>
      <w:r>
        <w:rPr>
          <w:rStyle w:val="ReportTemplate"/>
        </w:rPr>
        <w:t xml:space="preserve">beginning of February and approved by Parliament </w:t>
      </w:r>
      <w:r w:rsidR="000C3F2B">
        <w:rPr>
          <w:rStyle w:val="ReportTemplate"/>
        </w:rPr>
        <w:t>later in February</w:t>
      </w:r>
      <w:r>
        <w:rPr>
          <w:rStyle w:val="ReportTemplate"/>
        </w:rPr>
        <w:t>.</w:t>
      </w:r>
    </w:p>
    <w:p w14:paraId="47B7D86E" w14:textId="4C367367" w:rsidR="00E92B1E" w:rsidRPr="00251FA0" w:rsidRDefault="00251FA0" w:rsidP="00251FA0">
      <w:pPr>
        <w:ind w:left="0" w:firstLine="0"/>
        <w:rPr>
          <w:rStyle w:val="ReportTemplate"/>
          <w:b/>
        </w:rPr>
      </w:pPr>
      <w:r w:rsidRPr="00251FA0">
        <w:rPr>
          <w:rStyle w:val="ReportTemplate"/>
          <w:b/>
        </w:rPr>
        <w:t>Background</w:t>
      </w:r>
    </w:p>
    <w:p w14:paraId="41B4EF79" w14:textId="31E6C971" w:rsidR="00251FA0" w:rsidRDefault="00251FA0" w:rsidP="002624F8">
      <w:pPr>
        <w:pStyle w:val="ListParagraph"/>
        <w:rPr>
          <w:rStyle w:val="ReportTemplate"/>
        </w:rPr>
      </w:pPr>
      <w:r>
        <w:rPr>
          <w:rStyle w:val="ReportTemplate"/>
        </w:rPr>
        <w:t>In the 2019 Spending Round, the Chancellor announced a one year roll-</w:t>
      </w:r>
      <w:r w:rsidR="000C3F2B">
        <w:rPr>
          <w:rStyle w:val="ReportTemplate"/>
        </w:rPr>
        <w:t xml:space="preserve">forward </w:t>
      </w:r>
      <w:r>
        <w:rPr>
          <w:rStyle w:val="ReportTemplate"/>
        </w:rPr>
        <w:t>settlement for the year 2020/21. Further details were provided in a Technical Consultation which ran from 3 October to 31 October 2019.</w:t>
      </w:r>
    </w:p>
    <w:p w14:paraId="3CE95ABA" w14:textId="77777777" w:rsidR="00251FA0" w:rsidRDefault="00251FA0" w:rsidP="00251FA0">
      <w:pPr>
        <w:pStyle w:val="ListParagraph"/>
        <w:numPr>
          <w:ilvl w:val="0"/>
          <w:numId w:val="0"/>
        </w:numPr>
        <w:ind w:left="360"/>
        <w:rPr>
          <w:rStyle w:val="ReportTemplate"/>
        </w:rPr>
      </w:pPr>
    </w:p>
    <w:p w14:paraId="61D17E5B" w14:textId="194C8EF7" w:rsidR="00251FA0" w:rsidRPr="00251FA0" w:rsidRDefault="00251FA0" w:rsidP="00504425">
      <w:pPr>
        <w:pStyle w:val="ListParagraph"/>
        <w:rPr>
          <w:rFonts w:ascii="Frutiger 45 Light" w:eastAsia="Times New Roman" w:hAnsi="Frutiger 45 Light" w:cs="Times New Roman"/>
          <w:szCs w:val="20"/>
        </w:rPr>
      </w:pPr>
      <w:r>
        <w:rPr>
          <w:rStyle w:val="ReportTemplate"/>
        </w:rPr>
        <w:t xml:space="preserve">The Hudson Review of Local Government finance structures and processes recommended that </w:t>
      </w:r>
      <w:r w:rsidRPr="00251FA0">
        <w:rPr>
          <w:lang w:val="en-US"/>
        </w:rPr>
        <w:t>that the final settlement should be announced no later than 31 January, and the provisional settlement around 5 December.  Given the General Election it was not possible to meet that timetable for the Provisional Settlement this year. The LGA lobbied for the provisional settlement to be announced before Christmas.</w:t>
      </w:r>
    </w:p>
    <w:p w14:paraId="69CD2377" w14:textId="11AB6344" w:rsidR="00251FA0" w:rsidRPr="00504425" w:rsidRDefault="00251FA0" w:rsidP="00504425">
      <w:pPr>
        <w:ind w:left="0" w:firstLine="0"/>
        <w:rPr>
          <w:rStyle w:val="ReportTemplate"/>
          <w:b/>
        </w:rPr>
      </w:pPr>
      <w:r w:rsidRPr="00504425">
        <w:rPr>
          <w:rStyle w:val="ReportTemplate"/>
          <w:b/>
        </w:rPr>
        <w:t>Key features of the Settlement</w:t>
      </w:r>
    </w:p>
    <w:p w14:paraId="5330A1B5" w14:textId="72AA38CA" w:rsidR="00E27AA7" w:rsidRDefault="00504425" w:rsidP="00E27AA7">
      <w:pPr>
        <w:pStyle w:val="ListParagraph"/>
        <w:rPr>
          <w:rStyle w:val="ReportTemplate"/>
        </w:rPr>
      </w:pPr>
      <w:r>
        <w:rPr>
          <w:rStyle w:val="ReportTemplate"/>
        </w:rPr>
        <w:t xml:space="preserve">The Settlement </w:t>
      </w:r>
      <w:r w:rsidR="007462BD">
        <w:rPr>
          <w:rStyle w:val="ReportTemplate"/>
        </w:rPr>
        <w:t>followed the proposals</w:t>
      </w:r>
      <w:r>
        <w:rPr>
          <w:rStyle w:val="ReportTemplate"/>
        </w:rPr>
        <w:t xml:space="preserve"> </w:t>
      </w:r>
      <w:r w:rsidR="00954C50">
        <w:rPr>
          <w:rStyle w:val="ReportTemplate"/>
        </w:rPr>
        <w:t xml:space="preserve">in the </w:t>
      </w:r>
      <w:r>
        <w:rPr>
          <w:rStyle w:val="ReportTemplate"/>
        </w:rPr>
        <w:t>technical consultation</w:t>
      </w:r>
      <w:r w:rsidR="007462BD">
        <w:rPr>
          <w:rStyle w:val="ReportTemplate"/>
        </w:rPr>
        <w:t xml:space="preserve"> very closely</w:t>
      </w:r>
      <w:r>
        <w:rPr>
          <w:rStyle w:val="ReportTemplate"/>
        </w:rPr>
        <w:t xml:space="preserve">. </w:t>
      </w:r>
      <w:r w:rsidR="00E27AA7">
        <w:rPr>
          <w:rStyle w:val="ReportTemplate"/>
        </w:rPr>
        <w:t xml:space="preserve">In total, assuming that councils use their council tax flexibility to the full, core spending </w:t>
      </w:r>
      <w:r w:rsidR="007462BD">
        <w:rPr>
          <w:rStyle w:val="ReportTemplate"/>
        </w:rPr>
        <w:t>power will rise by 6.3 per cent</w:t>
      </w:r>
      <w:r w:rsidR="00E27AA7">
        <w:rPr>
          <w:rStyle w:val="ReportTemplate"/>
        </w:rPr>
        <w:t xml:space="preserve"> (£2.9 billion). When this is added to the £780 million for high needs education which was put into the Dedicated Schools Grant, total resources increase by over £3.6 million.</w:t>
      </w:r>
    </w:p>
    <w:p w14:paraId="755F35AE" w14:textId="77777777" w:rsidR="00E27AA7" w:rsidRDefault="00E27AA7" w:rsidP="00E27AA7">
      <w:pPr>
        <w:pStyle w:val="ListParagraph"/>
        <w:numPr>
          <w:ilvl w:val="0"/>
          <w:numId w:val="0"/>
        </w:numPr>
        <w:ind w:left="360"/>
        <w:rPr>
          <w:rStyle w:val="ReportTemplate"/>
        </w:rPr>
      </w:pPr>
    </w:p>
    <w:p w14:paraId="123B18FB" w14:textId="08B07AAF" w:rsidR="00504425" w:rsidRDefault="00E27AA7" w:rsidP="002624F8">
      <w:pPr>
        <w:pStyle w:val="ListParagraph"/>
        <w:rPr>
          <w:rStyle w:val="ReportTemplate"/>
        </w:rPr>
      </w:pPr>
      <w:r>
        <w:rPr>
          <w:rStyle w:val="ReportTemplate"/>
        </w:rPr>
        <w:t>Key features of the Provisional Settlement</w:t>
      </w:r>
      <w:r w:rsidR="00504425">
        <w:rPr>
          <w:rStyle w:val="ReportTemplate"/>
        </w:rPr>
        <w:t xml:space="preserve"> included</w:t>
      </w:r>
      <w:r>
        <w:rPr>
          <w:rStyle w:val="ReportTemplate"/>
        </w:rPr>
        <w:t xml:space="preserve"> the following:</w:t>
      </w:r>
    </w:p>
    <w:p w14:paraId="2ADCC806" w14:textId="51BD34A2" w:rsidR="00143B04" w:rsidRDefault="00143B04" w:rsidP="00143B04">
      <w:pPr>
        <w:pStyle w:val="ListParagraph"/>
        <w:numPr>
          <w:ilvl w:val="0"/>
          <w:numId w:val="0"/>
        </w:numPr>
        <w:ind w:left="360"/>
        <w:rPr>
          <w:rStyle w:val="ReportTemplate"/>
        </w:rPr>
      </w:pPr>
    </w:p>
    <w:p w14:paraId="643FEF69" w14:textId="086C5039" w:rsidR="00504425" w:rsidRPr="007462BD" w:rsidRDefault="00504425" w:rsidP="00504425">
      <w:pPr>
        <w:pStyle w:val="ListParagraph"/>
        <w:numPr>
          <w:ilvl w:val="1"/>
          <w:numId w:val="1"/>
        </w:numPr>
        <w:rPr>
          <w:lang w:val="en-US"/>
        </w:rPr>
      </w:pPr>
      <w:r w:rsidRPr="007462BD">
        <w:rPr>
          <w:lang w:val="en-US"/>
        </w:rPr>
        <w:t>Uprating the business rates baseline and Revenue Support Grant in line with inflation.</w:t>
      </w:r>
    </w:p>
    <w:p w14:paraId="078CCFE3" w14:textId="77777777" w:rsidR="00FD5B4D" w:rsidRDefault="00FD5B4D" w:rsidP="00FD5B4D">
      <w:pPr>
        <w:pStyle w:val="ListParagraph"/>
        <w:numPr>
          <w:ilvl w:val="0"/>
          <w:numId w:val="0"/>
        </w:numPr>
        <w:ind w:left="831"/>
        <w:rPr>
          <w:lang w:val="en-US"/>
        </w:rPr>
      </w:pPr>
    </w:p>
    <w:p w14:paraId="53189AA8" w14:textId="00E26016" w:rsidR="00504425" w:rsidRPr="007462BD" w:rsidRDefault="00504425" w:rsidP="00504425">
      <w:pPr>
        <w:pStyle w:val="ListParagraph"/>
        <w:numPr>
          <w:ilvl w:val="1"/>
          <w:numId w:val="1"/>
        </w:numPr>
        <w:rPr>
          <w:lang w:val="en-US"/>
        </w:rPr>
      </w:pPr>
      <w:r w:rsidRPr="007462BD">
        <w:rPr>
          <w:lang w:val="en-US"/>
        </w:rPr>
        <w:t xml:space="preserve">Continuing the elimination of ‘negative Revenue Support </w:t>
      </w:r>
      <w:r w:rsidR="00BA1A3D" w:rsidRPr="007462BD">
        <w:rPr>
          <w:lang w:val="en-US"/>
        </w:rPr>
        <w:t>Grant’</w:t>
      </w:r>
      <w:r w:rsidR="00BA1A3D">
        <w:rPr>
          <w:lang w:val="en-US"/>
        </w:rPr>
        <w:t xml:space="preserve"> funded </w:t>
      </w:r>
      <w:r w:rsidRPr="007462BD">
        <w:rPr>
          <w:lang w:val="en-US"/>
        </w:rPr>
        <w:t>through central resources.</w:t>
      </w:r>
    </w:p>
    <w:p w14:paraId="3DBD9C56" w14:textId="77777777" w:rsidR="00FD5B4D" w:rsidRDefault="00FD5B4D" w:rsidP="00FD5B4D">
      <w:pPr>
        <w:pStyle w:val="ListParagraph"/>
        <w:numPr>
          <w:ilvl w:val="0"/>
          <w:numId w:val="0"/>
        </w:numPr>
        <w:ind w:left="831"/>
        <w:rPr>
          <w:lang w:val="en-US"/>
        </w:rPr>
      </w:pPr>
    </w:p>
    <w:p w14:paraId="403D5AFB" w14:textId="2E236AF5" w:rsidR="00504425" w:rsidRDefault="00504425" w:rsidP="00504425">
      <w:pPr>
        <w:pStyle w:val="ListParagraph"/>
        <w:numPr>
          <w:ilvl w:val="1"/>
          <w:numId w:val="1"/>
        </w:numPr>
        <w:rPr>
          <w:lang w:val="en-US"/>
        </w:rPr>
      </w:pPr>
      <w:r w:rsidRPr="007462BD">
        <w:rPr>
          <w:lang w:val="en-US"/>
        </w:rPr>
        <w:t>The following council tax referendum principles</w:t>
      </w:r>
      <w:r w:rsidR="007462BD">
        <w:rPr>
          <w:lang w:val="en-US"/>
        </w:rPr>
        <w:t>:</w:t>
      </w:r>
    </w:p>
    <w:p w14:paraId="48C1E6A1" w14:textId="77777777" w:rsidR="00FD5B4D" w:rsidRPr="00FD5B4D" w:rsidRDefault="00FD5B4D" w:rsidP="00FD5B4D">
      <w:pPr>
        <w:pStyle w:val="ListParagraph"/>
        <w:numPr>
          <w:ilvl w:val="0"/>
          <w:numId w:val="0"/>
        </w:numPr>
        <w:ind w:left="360"/>
        <w:rPr>
          <w:lang w:val="en-US"/>
        </w:rPr>
      </w:pPr>
    </w:p>
    <w:p w14:paraId="2FF343B4" w14:textId="47590394" w:rsidR="00504425" w:rsidRDefault="00504425" w:rsidP="008D1A6F">
      <w:pPr>
        <w:pStyle w:val="ListParagraph"/>
        <w:numPr>
          <w:ilvl w:val="2"/>
          <w:numId w:val="1"/>
        </w:numPr>
        <w:ind w:left="1945" w:hanging="720"/>
        <w:rPr>
          <w:lang w:val="en-US"/>
        </w:rPr>
      </w:pPr>
      <w:r w:rsidRPr="007462BD">
        <w:rPr>
          <w:lang w:val="en-US"/>
        </w:rPr>
        <w:t>a core council tax referendum principle of up to 2 per cent for shire counties, unitary authorities, London boroughs, the Greater London Authority (GLA) general precept, and fire authorities;</w:t>
      </w:r>
    </w:p>
    <w:p w14:paraId="3CEB13D1" w14:textId="77777777" w:rsidR="00FD5B4D" w:rsidRPr="007462BD" w:rsidRDefault="00FD5B4D" w:rsidP="008D1A6F">
      <w:pPr>
        <w:pStyle w:val="ListParagraph"/>
        <w:numPr>
          <w:ilvl w:val="0"/>
          <w:numId w:val="0"/>
        </w:numPr>
        <w:ind w:left="1945" w:hanging="720"/>
        <w:rPr>
          <w:lang w:val="en-US"/>
        </w:rPr>
      </w:pPr>
    </w:p>
    <w:p w14:paraId="39A36055" w14:textId="2164049B" w:rsidR="00504425" w:rsidRDefault="00504425" w:rsidP="008D1A6F">
      <w:pPr>
        <w:pStyle w:val="ListParagraph"/>
        <w:numPr>
          <w:ilvl w:val="2"/>
          <w:numId w:val="1"/>
        </w:numPr>
        <w:ind w:left="1945" w:hanging="720"/>
        <w:rPr>
          <w:lang w:val="en-US"/>
        </w:rPr>
      </w:pPr>
      <w:r w:rsidRPr="007462BD">
        <w:rPr>
          <w:lang w:val="en-US"/>
        </w:rPr>
        <w:lastRenderedPageBreak/>
        <w:t>a bespoke council tax referendum principle of 2 per cent or £5, whichever is higher, for shire districts;</w:t>
      </w:r>
    </w:p>
    <w:p w14:paraId="15117352" w14:textId="77777777" w:rsidR="00FD5B4D" w:rsidRPr="007462BD" w:rsidRDefault="00FD5B4D" w:rsidP="008D1A6F">
      <w:pPr>
        <w:pStyle w:val="ListParagraph"/>
        <w:numPr>
          <w:ilvl w:val="0"/>
          <w:numId w:val="0"/>
        </w:numPr>
        <w:ind w:left="1945" w:hanging="720"/>
        <w:rPr>
          <w:lang w:val="en-US"/>
        </w:rPr>
      </w:pPr>
    </w:p>
    <w:p w14:paraId="34E4BB25" w14:textId="498D066E" w:rsidR="00504425" w:rsidRDefault="00504425" w:rsidP="008D1A6F">
      <w:pPr>
        <w:pStyle w:val="ListParagraph"/>
        <w:numPr>
          <w:ilvl w:val="2"/>
          <w:numId w:val="1"/>
        </w:numPr>
        <w:ind w:left="1945" w:hanging="720"/>
        <w:rPr>
          <w:lang w:val="en-US"/>
        </w:rPr>
      </w:pPr>
      <w:r w:rsidRPr="007462BD">
        <w:rPr>
          <w:lang w:val="en-US"/>
        </w:rPr>
        <w:t>continuing the adult social care (ASC) precept at an additional 2 per cent;</w:t>
      </w:r>
    </w:p>
    <w:p w14:paraId="423C7AF5" w14:textId="77777777" w:rsidR="00FD5B4D" w:rsidRPr="007462BD" w:rsidRDefault="00FD5B4D" w:rsidP="008D1A6F">
      <w:pPr>
        <w:pStyle w:val="ListParagraph"/>
        <w:numPr>
          <w:ilvl w:val="0"/>
          <w:numId w:val="0"/>
        </w:numPr>
        <w:ind w:left="1945" w:hanging="720"/>
        <w:rPr>
          <w:lang w:val="en-US"/>
        </w:rPr>
      </w:pPr>
    </w:p>
    <w:p w14:paraId="588F5A24" w14:textId="7B9C80C4" w:rsidR="00504425" w:rsidRPr="007462BD" w:rsidRDefault="00504425" w:rsidP="008D1A6F">
      <w:pPr>
        <w:pStyle w:val="ListParagraph"/>
        <w:numPr>
          <w:ilvl w:val="2"/>
          <w:numId w:val="1"/>
        </w:numPr>
        <w:ind w:left="1945" w:hanging="720"/>
        <w:rPr>
          <w:lang w:val="en-US"/>
        </w:rPr>
      </w:pPr>
      <w:r w:rsidRPr="007462BD">
        <w:rPr>
          <w:lang w:val="en-US"/>
        </w:rPr>
        <w:t xml:space="preserve">setting no council tax referendum principles for </w:t>
      </w:r>
      <w:r w:rsidR="00BA1A3D" w:rsidRPr="007462BD">
        <w:rPr>
          <w:lang w:val="en-US"/>
        </w:rPr>
        <w:t>mayoral combined authorities (MCAs)</w:t>
      </w:r>
      <w:r w:rsidR="00BA1A3D">
        <w:rPr>
          <w:lang w:val="en-US"/>
        </w:rPr>
        <w:t xml:space="preserve"> or </w:t>
      </w:r>
      <w:r w:rsidRPr="007462BD">
        <w:rPr>
          <w:lang w:val="en-US"/>
        </w:rPr>
        <w:t>parish councils</w:t>
      </w:r>
      <w:r w:rsidR="00BA1A3D">
        <w:rPr>
          <w:lang w:val="en-US"/>
        </w:rPr>
        <w:t>;</w:t>
      </w:r>
    </w:p>
    <w:p w14:paraId="52104178" w14:textId="77777777" w:rsidR="00B246BF" w:rsidRPr="007462BD" w:rsidRDefault="00B246BF" w:rsidP="00B246BF">
      <w:pPr>
        <w:pStyle w:val="ListParagraph"/>
        <w:numPr>
          <w:ilvl w:val="0"/>
          <w:numId w:val="0"/>
        </w:numPr>
        <w:ind w:left="1224"/>
        <w:rPr>
          <w:lang w:val="en-US"/>
        </w:rPr>
      </w:pPr>
    </w:p>
    <w:p w14:paraId="1D6B4781" w14:textId="5D5DF04A" w:rsidR="00504425" w:rsidRPr="007462BD" w:rsidRDefault="00504425" w:rsidP="00504425">
      <w:pPr>
        <w:pStyle w:val="ListParagraph"/>
        <w:numPr>
          <w:ilvl w:val="1"/>
          <w:numId w:val="1"/>
        </w:numPr>
        <w:rPr>
          <w:lang w:val="en-US"/>
        </w:rPr>
      </w:pPr>
      <w:r w:rsidRPr="007462BD">
        <w:rPr>
          <w:lang w:val="en-US"/>
        </w:rPr>
        <w:t>A new social care grant of £1.41 billion</w:t>
      </w:r>
      <w:r w:rsidR="00B246BF" w:rsidRPr="007462BD">
        <w:rPr>
          <w:lang w:val="en-US"/>
        </w:rPr>
        <w:t xml:space="preserve"> in 2020/21 of which £1 billion is new money, </w:t>
      </w:r>
      <w:r w:rsidR="008278C1">
        <w:rPr>
          <w:lang w:val="en-US"/>
        </w:rPr>
        <w:t xml:space="preserve">most of which is </w:t>
      </w:r>
      <w:r w:rsidR="00B246BF" w:rsidRPr="007462BD">
        <w:rPr>
          <w:lang w:val="en-US"/>
        </w:rPr>
        <w:t>to be distributed using the Adult Social Care Relative Needs Formula</w:t>
      </w:r>
      <w:r w:rsidR="008278C1">
        <w:rPr>
          <w:lang w:val="en-US"/>
        </w:rPr>
        <w:t xml:space="preserve"> but </w:t>
      </w:r>
      <w:r w:rsidR="00B246BF" w:rsidRPr="007462BD">
        <w:rPr>
          <w:lang w:val="en-US"/>
        </w:rPr>
        <w:t xml:space="preserve">including a sum of £150 million </w:t>
      </w:r>
      <w:r w:rsidR="00BA1A3D">
        <w:rPr>
          <w:lang w:val="en-US"/>
        </w:rPr>
        <w:t>to</w:t>
      </w:r>
      <w:r w:rsidR="00B246BF" w:rsidRPr="007462BD">
        <w:rPr>
          <w:lang w:val="en-US"/>
        </w:rPr>
        <w:t xml:space="preserve"> </w:t>
      </w:r>
      <w:proofErr w:type="spellStart"/>
      <w:r w:rsidR="00B246BF" w:rsidRPr="007462BD">
        <w:rPr>
          <w:lang w:val="en-US"/>
        </w:rPr>
        <w:t>equalis</w:t>
      </w:r>
      <w:r w:rsidR="00BA1A3D">
        <w:rPr>
          <w:lang w:val="en-US"/>
        </w:rPr>
        <w:t>e</w:t>
      </w:r>
      <w:proofErr w:type="spellEnd"/>
      <w:r w:rsidR="00B246BF" w:rsidRPr="007462BD">
        <w:rPr>
          <w:lang w:val="en-US"/>
        </w:rPr>
        <w:t xml:space="preserve"> the impact of the council tax adult social care precept</w:t>
      </w:r>
      <w:r w:rsidR="00BA1A3D">
        <w:rPr>
          <w:lang w:val="en-US"/>
        </w:rPr>
        <w:t>;</w:t>
      </w:r>
    </w:p>
    <w:p w14:paraId="039CD0D0" w14:textId="77777777" w:rsidR="00FD5B4D" w:rsidRDefault="00FD5B4D" w:rsidP="00FD5B4D">
      <w:pPr>
        <w:pStyle w:val="ListParagraph"/>
        <w:numPr>
          <w:ilvl w:val="0"/>
          <w:numId w:val="0"/>
        </w:numPr>
        <w:ind w:left="831"/>
        <w:rPr>
          <w:lang w:val="en-US"/>
        </w:rPr>
      </w:pPr>
      <w:bookmarkStart w:id="1" w:name="_GoBack"/>
      <w:bookmarkEnd w:id="1"/>
    </w:p>
    <w:p w14:paraId="7AB27012" w14:textId="454BAF9C" w:rsidR="00B246BF" w:rsidRPr="007462BD" w:rsidRDefault="00BA1A3D" w:rsidP="00504425">
      <w:pPr>
        <w:pStyle w:val="ListParagraph"/>
        <w:numPr>
          <w:ilvl w:val="1"/>
          <w:numId w:val="1"/>
        </w:numPr>
        <w:rPr>
          <w:lang w:val="en-US"/>
        </w:rPr>
      </w:pPr>
      <w:r>
        <w:rPr>
          <w:lang w:val="en-US"/>
        </w:rPr>
        <w:t>M</w:t>
      </w:r>
      <w:r w:rsidR="00B246BF" w:rsidRPr="007462BD">
        <w:rPr>
          <w:lang w:val="en-US"/>
        </w:rPr>
        <w:t>aintaining existing improved Better Care Fund funding at 2019-20 levels (£1.837 billion), as well as incorporating the £240 million which was allocated as Winter Pressures Grant in 2019-20 into the improved Better Care Fund, with the same distribution as 2019/20</w:t>
      </w:r>
      <w:r>
        <w:rPr>
          <w:lang w:val="en-US"/>
        </w:rPr>
        <w:t>;</w:t>
      </w:r>
    </w:p>
    <w:p w14:paraId="4782D2EB" w14:textId="77777777" w:rsidR="00FD5B4D" w:rsidRDefault="00FD5B4D" w:rsidP="00FD5B4D">
      <w:pPr>
        <w:pStyle w:val="ListParagraph"/>
        <w:numPr>
          <w:ilvl w:val="0"/>
          <w:numId w:val="0"/>
        </w:numPr>
        <w:ind w:left="831"/>
        <w:rPr>
          <w:lang w:val="en-US"/>
        </w:rPr>
      </w:pPr>
    </w:p>
    <w:p w14:paraId="7977D78F" w14:textId="57CCCF9B" w:rsidR="00954C50" w:rsidRDefault="00BA1A3D" w:rsidP="00504425">
      <w:pPr>
        <w:pStyle w:val="ListParagraph"/>
        <w:numPr>
          <w:ilvl w:val="1"/>
          <w:numId w:val="1"/>
        </w:numPr>
        <w:rPr>
          <w:lang w:val="en-US"/>
        </w:rPr>
      </w:pPr>
      <w:r>
        <w:rPr>
          <w:lang w:val="en-US"/>
        </w:rPr>
        <w:t>R</w:t>
      </w:r>
      <w:r w:rsidR="00B246BF" w:rsidRPr="007462BD">
        <w:rPr>
          <w:lang w:val="en-US"/>
        </w:rPr>
        <w:t>etaining the £900 million top-slice of Revenue Support Grant to fund a new round of New Homes Bonus</w:t>
      </w:r>
      <w:r w:rsidR="007462BD">
        <w:rPr>
          <w:lang w:val="en-US"/>
        </w:rPr>
        <w:t xml:space="preserve"> (NHB)</w:t>
      </w:r>
      <w:r w:rsidR="00B246BF" w:rsidRPr="007462BD">
        <w:rPr>
          <w:lang w:val="en-US"/>
        </w:rPr>
        <w:t xml:space="preserve"> allocations in 2020-21, in addition to an estimated £7 million from departmental budgets. The 2020/21 element of NHB will be paid for one year only. The legacy payments of the bonus in respect of growth in 2019/20 and previous years will continue to be paid in 2020/21. The Government </w:t>
      </w:r>
      <w:r w:rsidR="00E27AA7" w:rsidRPr="007462BD">
        <w:rPr>
          <w:lang w:val="en-US"/>
        </w:rPr>
        <w:t xml:space="preserve">stated that it </w:t>
      </w:r>
      <w:r w:rsidR="00B246BF" w:rsidRPr="007462BD">
        <w:rPr>
          <w:lang w:val="en-US"/>
        </w:rPr>
        <w:t>will consult on the future of the</w:t>
      </w:r>
      <w:r w:rsidR="007462BD">
        <w:rPr>
          <w:lang w:val="en-US"/>
        </w:rPr>
        <w:t xml:space="preserve"> housing incentive in the Sprin</w:t>
      </w:r>
      <w:r w:rsidR="0043487C">
        <w:rPr>
          <w:lang w:val="en-US"/>
        </w:rPr>
        <w:t>g</w:t>
      </w:r>
      <w:r w:rsidR="007462BD">
        <w:rPr>
          <w:lang w:val="en-US"/>
        </w:rPr>
        <w:t>, including</w:t>
      </w:r>
      <w:r w:rsidR="00B246BF" w:rsidRPr="007462BD">
        <w:rPr>
          <w:lang w:val="en-US"/>
        </w:rPr>
        <w:t xml:space="preserve"> moving to a new, more targeted approach which is </w:t>
      </w:r>
      <w:r w:rsidR="000C3F2B">
        <w:rPr>
          <w:lang w:val="en-US"/>
        </w:rPr>
        <w:t>“</w:t>
      </w:r>
      <w:r w:rsidR="00B246BF" w:rsidRPr="007462BD">
        <w:rPr>
          <w:lang w:val="en-US"/>
        </w:rPr>
        <w:t>aligned with other measures around planning performance</w:t>
      </w:r>
      <w:r w:rsidR="000C3F2B">
        <w:rPr>
          <w:lang w:val="en-US"/>
        </w:rPr>
        <w:t>”</w:t>
      </w:r>
      <w:r w:rsidR="008D1A6F">
        <w:rPr>
          <w:lang w:val="en-US"/>
        </w:rPr>
        <w:t>.</w:t>
      </w:r>
    </w:p>
    <w:p w14:paraId="61CEE07E" w14:textId="0595766C" w:rsidR="00B246BF" w:rsidRPr="007462BD" w:rsidRDefault="00B246BF" w:rsidP="00B92E4C">
      <w:pPr>
        <w:pStyle w:val="ListParagraph"/>
        <w:numPr>
          <w:ilvl w:val="0"/>
          <w:numId w:val="0"/>
        </w:numPr>
        <w:ind w:left="831"/>
        <w:rPr>
          <w:lang w:val="en-US"/>
        </w:rPr>
      </w:pPr>
    </w:p>
    <w:p w14:paraId="47B9A56E" w14:textId="71E3A55C" w:rsidR="00320586" w:rsidRPr="007462BD" w:rsidRDefault="00320586">
      <w:pPr>
        <w:pStyle w:val="ListParagraph"/>
        <w:rPr>
          <w:lang w:val="en-US"/>
        </w:rPr>
      </w:pPr>
      <w:r w:rsidRPr="007462BD">
        <w:rPr>
          <w:lang w:val="en-US"/>
        </w:rPr>
        <w:t xml:space="preserve">Not all details were announced on 20 December. Neither the </w:t>
      </w:r>
      <w:r w:rsidR="00483D40">
        <w:rPr>
          <w:lang w:val="en-US"/>
        </w:rPr>
        <w:t>public health g</w:t>
      </w:r>
      <w:r w:rsidRPr="007462BD">
        <w:rPr>
          <w:lang w:val="en-US"/>
        </w:rPr>
        <w:t xml:space="preserve">rant nor the Police </w:t>
      </w:r>
      <w:r w:rsidR="00483D40">
        <w:rPr>
          <w:lang w:val="en-US"/>
        </w:rPr>
        <w:t>f</w:t>
      </w:r>
      <w:r w:rsidRPr="007462BD">
        <w:rPr>
          <w:lang w:val="en-US"/>
        </w:rPr>
        <w:t xml:space="preserve">unding </w:t>
      </w:r>
      <w:r w:rsidR="00483D40">
        <w:rPr>
          <w:lang w:val="en-US"/>
        </w:rPr>
        <w:t>s</w:t>
      </w:r>
      <w:r w:rsidRPr="007462BD">
        <w:rPr>
          <w:lang w:val="en-US"/>
        </w:rPr>
        <w:t>ettlement were announced.</w:t>
      </w:r>
      <w:r w:rsidR="00E27AA7" w:rsidRPr="007462BD">
        <w:rPr>
          <w:lang w:val="en-US"/>
        </w:rPr>
        <w:t xml:space="preserve"> In addition</w:t>
      </w:r>
      <w:r w:rsidR="00FD5B4D">
        <w:rPr>
          <w:lang w:val="en-US"/>
        </w:rPr>
        <w:t>,</w:t>
      </w:r>
      <w:r w:rsidR="00E27AA7" w:rsidRPr="007462BD">
        <w:rPr>
          <w:lang w:val="en-US"/>
        </w:rPr>
        <w:t xml:space="preserve"> there was no mention of further business rates retention or the Fair Funding Review, which are due to be introduced in April 2021.</w:t>
      </w:r>
    </w:p>
    <w:p w14:paraId="1BC1FB0F" w14:textId="6E890E5F" w:rsidR="00320586" w:rsidRPr="00320586" w:rsidRDefault="00320586" w:rsidP="00320586">
      <w:pPr>
        <w:ind w:left="0" w:firstLine="0"/>
        <w:rPr>
          <w:rStyle w:val="ReportTemplate"/>
          <w:b/>
        </w:rPr>
      </w:pPr>
      <w:r w:rsidRPr="00320586">
        <w:rPr>
          <w:rStyle w:val="ReportTemplate"/>
          <w:b/>
        </w:rPr>
        <w:t>LGA Response</w:t>
      </w:r>
    </w:p>
    <w:p w14:paraId="25F5ED32" w14:textId="683BDF51" w:rsidR="002D236B" w:rsidRDefault="008D1A6F" w:rsidP="00B246BF">
      <w:pPr>
        <w:pStyle w:val="ListParagraph"/>
        <w:rPr>
          <w:rStyle w:val="ReportTemplate"/>
        </w:rPr>
      </w:pPr>
      <w:hyperlink r:id="rId13" w:history="1">
        <w:r w:rsidR="00320586" w:rsidRPr="00904DE4">
          <w:rPr>
            <w:rStyle w:val="Hyperlink"/>
          </w:rPr>
          <w:t>The LGA response was submitted</w:t>
        </w:r>
      </w:hyperlink>
      <w:r w:rsidR="00320586">
        <w:rPr>
          <w:rStyle w:val="ReportTemplate"/>
        </w:rPr>
        <w:t xml:space="preserve"> by the closing date of 17 January, having been cleared by the Chairman, Group Leaders and Lead Members of Resources Board.</w:t>
      </w:r>
    </w:p>
    <w:p w14:paraId="2258612C" w14:textId="77777777" w:rsidR="002D236B" w:rsidRDefault="002D236B" w:rsidP="002D236B">
      <w:pPr>
        <w:pStyle w:val="ListParagraph"/>
        <w:numPr>
          <w:ilvl w:val="0"/>
          <w:numId w:val="0"/>
        </w:numPr>
        <w:ind w:left="360"/>
        <w:rPr>
          <w:rStyle w:val="ReportTemplate"/>
        </w:rPr>
      </w:pPr>
    </w:p>
    <w:p w14:paraId="15AE20A5" w14:textId="77777777" w:rsidR="002D236B" w:rsidRDefault="002D236B" w:rsidP="00B246BF">
      <w:pPr>
        <w:pStyle w:val="ListParagraph"/>
        <w:rPr>
          <w:rStyle w:val="ReportTemplate"/>
        </w:rPr>
      </w:pPr>
      <w:r>
        <w:rPr>
          <w:rStyle w:val="ReportTemplate"/>
        </w:rPr>
        <w:t>The detail of the response was subsequently used to inform the meeting between LGA politicians, representing all political groups, and the Minister for Local Government and Homelessness.</w:t>
      </w:r>
    </w:p>
    <w:p w14:paraId="560D0223" w14:textId="77777777" w:rsidR="008D1A6F" w:rsidRDefault="008D1A6F" w:rsidP="008D1A6F">
      <w:pPr>
        <w:pStyle w:val="ListParagraph"/>
        <w:numPr>
          <w:ilvl w:val="0"/>
          <w:numId w:val="0"/>
        </w:numPr>
        <w:ind w:left="360"/>
        <w:rPr>
          <w:rStyle w:val="ReportTemplate"/>
        </w:rPr>
      </w:pPr>
    </w:p>
    <w:p w14:paraId="7BC92478" w14:textId="5F247BCC" w:rsidR="00320586" w:rsidRDefault="00320586" w:rsidP="00B246BF">
      <w:pPr>
        <w:pStyle w:val="ListParagraph"/>
        <w:rPr>
          <w:rStyle w:val="ReportTemplate"/>
        </w:rPr>
      </w:pPr>
      <w:r>
        <w:rPr>
          <w:rStyle w:val="ReportTemplate"/>
        </w:rPr>
        <w:t xml:space="preserve"> The key points </w:t>
      </w:r>
      <w:r w:rsidR="00B73855">
        <w:rPr>
          <w:rStyle w:val="ReportTemplate"/>
        </w:rPr>
        <w:t xml:space="preserve">in the LGA’s response </w:t>
      </w:r>
      <w:r>
        <w:rPr>
          <w:rStyle w:val="ReportTemplate"/>
        </w:rPr>
        <w:t>are:</w:t>
      </w:r>
    </w:p>
    <w:p w14:paraId="6FEA0E11" w14:textId="77777777" w:rsidR="00E27AA7" w:rsidRDefault="00E27AA7" w:rsidP="008D1A6F">
      <w:pPr>
        <w:pStyle w:val="ListParagraph"/>
        <w:numPr>
          <w:ilvl w:val="0"/>
          <w:numId w:val="0"/>
        </w:numPr>
        <w:ind w:left="360" w:hanging="720"/>
        <w:rPr>
          <w:rStyle w:val="ReportTemplate"/>
        </w:rPr>
      </w:pPr>
    </w:p>
    <w:p w14:paraId="6C86D7CF" w14:textId="5770E45A" w:rsidR="00320586" w:rsidRPr="00320586" w:rsidRDefault="00320586" w:rsidP="008D1A6F">
      <w:pPr>
        <w:pStyle w:val="ListParagraph"/>
        <w:numPr>
          <w:ilvl w:val="1"/>
          <w:numId w:val="1"/>
        </w:numPr>
        <w:spacing w:line="240" w:lineRule="auto"/>
        <w:ind w:hanging="720"/>
        <w:rPr>
          <w:rFonts w:eastAsia="Calibri" w:cs="Arial"/>
          <w:sz w:val="24"/>
          <w:szCs w:val="24"/>
          <w:lang w:val="en-US"/>
        </w:rPr>
      </w:pPr>
      <w:r w:rsidRPr="00320586">
        <w:rPr>
          <w:lang w:val="en-US"/>
        </w:rPr>
        <w:lastRenderedPageBreak/>
        <w:t>The Settlement</w:t>
      </w:r>
      <w:r w:rsidR="00E27AA7">
        <w:rPr>
          <w:lang w:val="en-US"/>
        </w:rPr>
        <w:t xml:space="preserve"> includ</w:t>
      </w:r>
      <w:r w:rsidR="00637417">
        <w:rPr>
          <w:lang w:val="en-US"/>
        </w:rPr>
        <w:t>ing</w:t>
      </w:r>
      <w:r w:rsidR="00E27AA7">
        <w:rPr>
          <w:lang w:val="en-US"/>
        </w:rPr>
        <w:t xml:space="preserve"> a</w:t>
      </w:r>
      <w:r w:rsidRPr="00320586">
        <w:rPr>
          <w:lang w:val="en-US"/>
        </w:rPr>
        <w:t xml:space="preserve"> potential increase of £2.9 billion</w:t>
      </w:r>
      <w:r w:rsidR="00E27AA7">
        <w:rPr>
          <w:lang w:val="en-US"/>
        </w:rPr>
        <w:t xml:space="preserve"> in resources for councils</w:t>
      </w:r>
      <w:r w:rsidRPr="00320586">
        <w:rPr>
          <w:lang w:val="en-US"/>
        </w:rPr>
        <w:t>, plus the additional £780 million rise in the high needs block of the dedicated schools grant next year is good news for councils and shows that the Government has responded to the financial pressures local authorities face in meeting rising costs and demand for services, such as adult and children’s social care, and homelessness support.</w:t>
      </w:r>
    </w:p>
    <w:p w14:paraId="1A518F72" w14:textId="77777777" w:rsidR="00320586" w:rsidRPr="00320586" w:rsidRDefault="00320586" w:rsidP="008D1A6F">
      <w:pPr>
        <w:pStyle w:val="ListParagraph"/>
        <w:numPr>
          <w:ilvl w:val="0"/>
          <w:numId w:val="0"/>
        </w:numPr>
        <w:spacing w:line="240" w:lineRule="auto"/>
        <w:ind w:left="831" w:hanging="720"/>
        <w:rPr>
          <w:rFonts w:eastAsia="Calibri" w:cs="Arial"/>
          <w:sz w:val="24"/>
          <w:szCs w:val="24"/>
          <w:lang w:val="en-US"/>
        </w:rPr>
      </w:pPr>
    </w:p>
    <w:p w14:paraId="2E1BA50C" w14:textId="774916DD" w:rsidR="00320586" w:rsidRPr="00320586" w:rsidRDefault="00320586" w:rsidP="008D1A6F">
      <w:pPr>
        <w:pStyle w:val="ListParagraph"/>
        <w:numPr>
          <w:ilvl w:val="1"/>
          <w:numId w:val="1"/>
        </w:numPr>
        <w:spacing w:line="240" w:lineRule="auto"/>
        <w:ind w:hanging="720"/>
        <w:rPr>
          <w:lang w:val="en-US"/>
        </w:rPr>
      </w:pPr>
      <w:r>
        <w:rPr>
          <w:lang w:val="en-US"/>
        </w:rPr>
        <w:t>The</w:t>
      </w:r>
      <w:r w:rsidR="00E27AA7">
        <w:rPr>
          <w:lang w:val="en-US"/>
        </w:rPr>
        <w:t xml:space="preserve"> additional </w:t>
      </w:r>
      <w:r w:rsidRPr="00320586">
        <w:rPr>
          <w:lang w:val="en-US"/>
        </w:rPr>
        <w:t>£1 billion of central government funding for social care, as announced in the 2019 Spending Round will help ensure councils can continue to help older and disabled people live more independently and support our most vulnerable young people. Confirmation that key social care grants will also continue next year provides much-needed stability for local authorities.</w:t>
      </w:r>
    </w:p>
    <w:p w14:paraId="75977FE5" w14:textId="77777777" w:rsidR="00320586" w:rsidRPr="00320586" w:rsidRDefault="00320586" w:rsidP="008D1A6F">
      <w:pPr>
        <w:pStyle w:val="ListParagraph"/>
        <w:numPr>
          <w:ilvl w:val="0"/>
          <w:numId w:val="0"/>
        </w:numPr>
        <w:spacing w:line="240" w:lineRule="auto"/>
        <w:ind w:left="831" w:hanging="720"/>
        <w:rPr>
          <w:lang w:val="en-US"/>
        </w:rPr>
      </w:pPr>
    </w:p>
    <w:p w14:paraId="6AFD46FE" w14:textId="10CAC907" w:rsidR="00320586" w:rsidRDefault="00320586" w:rsidP="008D1A6F">
      <w:pPr>
        <w:pStyle w:val="ListParagraph"/>
        <w:numPr>
          <w:ilvl w:val="1"/>
          <w:numId w:val="1"/>
        </w:numPr>
        <w:spacing w:line="240" w:lineRule="auto"/>
        <w:ind w:hanging="720"/>
        <w:rPr>
          <w:lang w:val="en-US"/>
        </w:rPr>
      </w:pPr>
      <w:r w:rsidRPr="002650A3">
        <w:rPr>
          <w:lang w:val="en-US"/>
        </w:rPr>
        <w:t>The ability of councils to increase council tax and levy an adult social care precept next year gives them the po</w:t>
      </w:r>
      <w:r w:rsidR="008D1A6F">
        <w:rPr>
          <w:lang w:val="en-US"/>
        </w:rPr>
        <w:t xml:space="preserve">tential to raise £1.6 billion. </w:t>
      </w:r>
      <w:r w:rsidRPr="002650A3">
        <w:rPr>
          <w:lang w:val="en-US"/>
        </w:rPr>
        <w:t>This will help councils to continue to deliver vital services, but it is not a sustainable solution because increasing council tax raises different amounts of money in different parts of the country, unrelated to need, and adds an extra financial burden on households. The Government needs to deliver on its pledge to bring forward proposals for long term reform of adult soc</w:t>
      </w:r>
      <w:r w:rsidR="008D1A6F">
        <w:rPr>
          <w:lang w:val="en-US"/>
        </w:rPr>
        <w:t xml:space="preserve">ial care and how it is funded. </w:t>
      </w:r>
      <w:r w:rsidRPr="002650A3">
        <w:rPr>
          <w:lang w:val="en-US"/>
        </w:rPr>
        <w:t xml:space="preserve">The LGA, as a cross-party </w:t>
      </w:r>
      <w:proofErr w:type="spellStart"/>
      <w:r w:rsidRPr="002650A3">
        <w:rPr>
          <w:lang w:val="en-US"/>
        </w:rPr>
        <w:t>organisation</w:t>
      </w:r>
      <w:proofErr w:type="spellEnd"/>
      <w:r w:rsidRPr="002650A3">
        <w:rPr>
          <w:lang w:val="en-US"/>
        </w:rPr>
        <w:t>, has previously offered to host and facilitate cross-party talks and that offer remains open to the Government.</w:t>
      </w:r>
    </w:p>
    <w:p w14:paraId="2D411FD1" w14:textId="77777777" w:rsidR="002650A3" w:rsidRDefault="002650A3" w:rsidP="008D1A6F">
      <w:pPr>
        <w:pStyle w:val="ListParagraph"/>
        <w:numPr>
          <w:ilvl w:val="0"/>
          <w:numId w:val="0"/>
        </w:numPr>
        <w:spacing w:line="240" w:lineRule="auto"/>
        <w:ind w:left="831" w:hanging="720"/>
        <w:rPr>
          <w:lang w:val="en-US"/>
        </w:rPr>
      </w:pPr>
    </w:p>
    <w:p w14:paraId="04876C4D" w14:textId="17063B91" w:rsidR="002650A3" w:rsidRDefault="002650A3" w:rsidP="008D1A6F">
      <w:pPr>
        <w:pStyle w:val="ListParagraph"/>
        <w:numPr>
          <w:ilvl w:val="1"/>
          <w:numId w:val="1"/>
        </w:numPr>
        <w:spacing w:line="240" w:lineRule="auto"/>
        <w:ind w:hanging="720"/>
        <w:rPr>
          <w:lang w:val="en-US"/>
        </w:rPr>
      </w:pPr>
      <w:r w:rsidRPr="002650A3">
        <w:rPr>
          <w:lang w:val="en-US"/>
        </w:rPr>
        <w:t xml:space="preserve">The LGA has consistently opposed nationally set referendum limits. No national tax is subject to a referendum. The council tax referendum limit needs to be abolished so councils and their communities can decide how local services are paid for, with residents able to democratically hold their council to account through the ballot box. Should the Government </w:t>
      </w:r>
      <w:r w:rsidR="002968EA">
        <w:rPr>
          <w:lang w:val="en-US"/>
        </w:rPr>
        <w:t>continue to</w:t>
      </w:r>
      <w:r w:rsidRPr="002650A3">
        <w:rPr>
          <w:lang w:val="en-US"/>
        </w:rPr>
        <w:t xml:space="preserve"> set referendum limits, we would repeat our call for the following to be taken into account:</w:t>
      </w:r>
    </w:p>
    <w:p w14:paraId="04860A44" w14:textId="77777777" w:rsidR="002968EA" w:rsidRPr="002968EA" w:rsidRDefault="002968EA" w:rsidP="008D1A6F">
      <w:pPr>
        <w:pStyle w:val="ListParagraph"/>
        <w:numPr>
          <w:ilvl w:val="0"/>
          <w:numId w:val="0"/>
        </w:numPr>
        <w:ind w:left="360" w:hanging="720"/>
        <w:rPr>
          <w:lang w:val="en-US"/>
        </w:rPr>
      </w:pPr>
    </w:p>
    <w:p w14:paraId="2BB623AC" w14:textId="77777777" w:rsidR="002650A3" w:rsidRDefault="002650A3" w:rsidP="008D1A6F">
      <w:pPr>
        <w:pStyle w:val="ListParagraph"/>
        <w:numPr>
          <w:ilvl w:val="2"/>
          <w:numId w:val="1"/>
        </w:numPr>
        <w:spacing w:line="240" w:lineRule="auto"/>
        <w:ind w:hanging="720"/>
        <w:rPr>
          <w:lang w:val="en-US"/>
        </w:rPr>
      </w:pPr>
      <w:r w:rsidRPr="002650A3">
        <w:rPr>
          <w:lang w:val="en-US"/>
        </w:rPr>
        <w:t>Consideration should be given to a 3 per cent core threshold as in previous years, as opposed to a 2 per cent threshold as proposed.</w:t>
      </w:r>
    </w:p>
    <w:p w14:paraId="52B26FAB" w14:textId="77777777" w:rsidR="00E7558A" w:rsidRDefault="00E7558A" w:rsidP="008D1A6F">
      <w:pPr>
        <w:pStyle w:val="ListParagraph"/>
        <w:numPr>
          <w:ilvl w:val="0"/>
          <w:numId w:val="0"/>
        </w:numPr>
        <w:spacing w:line="240" w:lineRule="auto"/>
        <w:ind w:left="1224" w:hanging="720"/>
        <w:rPr>
          <w:lang w:val="en-US"/>
        </w:rPr>
      </w:pPr>
    </w:p>
    <w:p w14:paraId="1767031C" w14:textId="45929062" w:rsidR="002650A3" w:rsidRPr="002650A3" w:rsidRDefault="002650A3" w:rsidP="008D1A6F">
      <w:pPr>
        <w:pStyle w:val="ListParagraph"/>
        <w:numPr>
          <w:ilvl w:val="2"/>
          <w:numId w:val="1"/>
        </w:numPr>
        <w:spacing w:line="240" w:lineRule="auto"/>
        <w:ind w:hanging="720"/>
        <w:rPr>
          <w:lang w:val="en-US"/>
        </w:rPr>
      </w:pPr>
      <w:r w:rsidRPr="002650A3">
        <w:rPr>
          <w:lang w:val="en-US"/>
        </w:rPr>
        <w:t xml:space="preserve">We agree that districts should have the extra flexibility of a £5 increase but this should be the higher of 3 per cent or £5 </w:t>
      </w:r>
      <w:r w:rsidR="002968EA">
        <w:rPr>
          <w:lang w:val="en-US"/>
        </w:rPr>
        <w:t>as it</w:t>
      </w:r>
      <w:r w:rsidRPr="002650A3">
        <w:rPr>
          <w:lang w:val="en-US"/>
        </w:rPr>
        <w:t xml:space="preserve"> is a </w:t>
      </w:r>
      <w:r w:rsidR="002968EA">
        <w:rPr>
          <w:lang w:val="en-US"/>
        </w:rPr>
        <w:t>“</w:t>
      </w:r>
      <w:r w:rsidR="008A2DA6" w:rsidRPr="002650A3">
        <w:rPr>
          <w:lang w:val="en-US"/>
        </w:rPr>
        <w:t>roll</w:t>
      </w:r>
      <w:r w:rsidR="008A2DA6">
        <w:rPr>
          <w:lang w:val="en-US"/>
        </w:rPr>
        <w:t>-forward</w:t>
      </w:r>
      <w:r w:rsidR="002968EA">
        <w:rPr>
          <w:lang w:val="en-US"/>
        </w:rPr>
        <w:t>”</w:t>
      </w:r>
      <w:r w:rsidRPr="002650A3">
        <w:rPr>
          <w:lang w:val="en-US"/>
        </w:rPr>
        <w:t xml:space="preserve"> settlement.</w:t>
      </w:r>
      <w:r w:rsidR="00954C50">
        <w:rPr>
          <w:lang w:val="en-US"/>
        </w:rPr>
        <w:t xml:space="preserve"> This flexibility should also be extended to fire authorities.</w:t>
      </w:r>
    </w:p>
    <w:p w14:paraId="79205F9F" w14:textId="77777777" w:rsidR="002650A3" w:rsidRDefault="002650A3" w:rsidP="008D1A6F">
      <w:pPr>
        <w:pStyle w:val="ListParagraph"/>
        <w:numPr>
          <w:ilvl w:val="0"/>
          <w:numId w:val="0"/>
        </w:numPr>
        <w:spacing w:line="240" w:lineRule="auto"/>
        <w:ind w:left="831" w:hanging="720"/>
        <w:rPr>
          <w:lang w:val="en-US"/>
        </w:rPr>
      </w:pPr>
    </w:p>
    <w:p w14:paraId="11997869" w14:textId="22B9D76B" w:rsidR="00320586" w:rsidRPr="00320586" w:rsidRDefault="00320586" w:rsidP="008D1A6F">
      <w:pPr>
        <w:pStyle w:val="ListParagraph"/>
        <w:numPr>
          <w:ilvl w:val="1"/>
          <w:numId w:val="1"/>
        </w:numPr>
        <w:spacing w:line="240" w:lineRule="auto"/>
        <w:ind w:hanging="720"/>
        <w:rPr>
          <w:lang w:val="en-US"/>
        </w:rPr>
      </w:pPr>
      <w:r w:rsidRPr="00320586">
        <w:rPr>
          <w:lang w:val="en-US"/>
        </w:rPr>
        <w:t xml:space="preserve">The Government needs to work closely with councils during its review of the New Homes Bonus, and provide clarity to councils on legacy payments from 2021/22 onwards, as well as the outcome of the review, as soon as possible to allow them to plan their 2021/22 </w:t>
      </w:r>
      <w:r w:rsidR="002968EA">
        <w:rPr>
          <w:lang w:val="en-US"/>
        </w:rPr>
        <w:t xml:space="preserve">and future </w:t>
      </w:r>
      <w:r w:rsidRPr="00320586">
        <w:rPr>
          <w:lang w:val="en-US"/>
        </w:rPr>
        <w:t>budgets.</w:t>
      </w:r>
    </w:p>
    <w:p w14:paraId="47AD0A9E" w14:textId="77777777" w:rsidR="00320586" w:rsidRPr="00320586" w:rsidRDefault="00320586" w:rsidP="008D1A6F">
      <w:pPr>
        <w:pStyle w:val="ListParagraph"/>
        <w:numPr>
          <w:ilvl w:val="0"/>
          <w:numId w:val="0"/>
        </w:numPr>
        <w:spacing w:line="240" w:lineRule="auto"/>
        <w:ind w:left="831" w:hanging="720"/>
        <w:rPr>
          <w:lang w:val="en-US"/>
        </w:rPr>
      </w:pPr>
    </w:p>
    <w:p w14:paraId="547D2B42" w14:textId="77777777" w:rsidR="00320586" w:rsidRDefault="00320586" w:rsidP="008D1A6F">
      <w:pPr>
        <w:pStyle w:val="ListParagraph"/>
        <w:numPr>
          <w:ilvl w:val="1"/>
          <w:numId w:val="1"/>
        </w:numPr>
        <w:spacing w:line="240" w:lineRule="auto"/>
        <w:ind w:hanging="720"/>
        <w:rPr>
          <w:lang w:val="en-US"/>
        </w:rPr>
      </w:pPr>
      <w:r w:rsidRPr="00320586">
        <w:rPr>
          <w:lang w:val="en-US"/>
        </w:rPr>
        <w:t>It is also vital that councils are fully funded for the loss of income due to the business rates reliefs announced in the Queen’s Speech, in line with normal government practice.</w:t>
      </w:r>
    </w:p>
    <w:p w14:paraId="537EA703" w14:textId="77777777" w:rsidR="00E12466" w:rsidRPr="00E12466" w:rsidRDefault="00E12466" w:rsidP="008D1A6F">
      <w:pPr>
        <w:pStyle w:val="ListParagraph"/>
        <w:numPr>
          <w:ilvl w:val="0"/>
          <w:numId w:val="0"/>
        </w:numPr>
        <w:ind w:left="360" w:hanging="720"/>
        <w:rPr>
          <w:lang w:val="en-US"/>
        </w:rPr>
      </w:pPr>
    </w:p>
    <w:p w14:paraId="39BA29C0" w14:textId="77777777" w:rsidR="00E12466" w:rsidRPr="00CD2328" w:rsidRDefault="00E12466" w:rsidP="008D1A6F">
      <w:pPr>
        <w:pStyle w:val="ListParagraph"/>
        <w:numPr>
          <w:ilvl w:val="1"/>
          <w:numId w:val="1"/>
        </w:numPr>
        <w:spacing w:line="240" w:lineRule="auto"/>
        <w:ind w:hanging="720"/>
        <w:rPr>
          <w:lang w:val="en-US"/>
        </w:rPr>
      </w:pPr>
      <w:r>
        <w:rPr>
          <w:lang w:val="en-US"/>
        </w:rPr>
        <w:t>The rise in the National Living Wage announced on 31</w:t>
      </w:r>
      <w:r w:rsidRPr="00E12466">
        <w:rPr>
          <w:lang w:val="en-US"/>
        </w:rPr>
        <w:t>st</w:t>
      </w:r>
      <w:r>
        <w:rPr>
          <w:lang w:val="en-US"/>
        </w:rPr>
        <w:t xml:space="preserve"> December 2019 will add pressures on councils estimated at £220 million more than they will have been </w:t>
      </w:r>
      <w:r>
        <w:rPr>
          <w:lang w:val="en-US"/>
        </w:rPr>
        <w:lastRenderedPageBreak/>
        <w:t>forecasting.  The LGA considers that additional funding should be provided to councils for this pressure.</w:t>
      </w:r>
    </w:p>
    <w:p w14:paraId="60F17757" w14:textId="77777777" w:rsidR="00320586" w:rsidRPr="00320586" w:rsidRDefault="00320586" w:rsidP="008D1A6F">
      <w:pPr>
        <w:pStyle w:val="ListParagraph"/>
        <w:numPr>
          <w:ilvl w:val="0"/>
          <w:numId w:val="0"/>
        </w:numPr>
        <w:spacing w:line="240" w:lineRule="auto"/>
        <w:ind w:left="831" w:hanging="720"/>
        <w:rPr>
          <w:lang w:val="en-US"/>
        </w:rPr>
      </w:pPr>
    </w:p>
    <w:p w14:paraId="2A7C21D1" w14:textId="4E89F937" w:rsidR="00320586" w:rsidRPr="00320586" w:rsidRDefault="00320586" w:rsidP="008D1A6F">
      <w:pPr>
        <w:pStyle w:val="ListParagraph"/>
        <w:numPr>
          <w:ilvl w:val="1"/>
          <w:numId w:val="1"/>
        </w:numPr>
        <w:spacing w:line="240" w:lineRule="auto"/>
        <w:ind w:hanging="720"/>
        <w:rPr>
          <w:lang w:val="en-US"/>
        </w:rPr>
      </w:pPr>
      <w:r w:rsidRPr="00320586">
        <w:rPr>
          <w:lang w:val="en-US"/>
        </w:rPr>
        <w:t xml:space="preserve">It is disappointing that the Government </w:t>
      </w:r>
      <w:r>
        <w:rPr>
          <w:lang w:val="en-US"/>
        </w:rPr>
        <w:t>did not provide</w:t>
      </w:r>
      <w:r w:rsidRPr="00320586">
        <w:rPr>
          <w:lang w:val="en-US"/>
        </w:rPr>
        <w:t xml:space="preserve"> a progress update on the Fair Funding Review or further business rates retention </w:t>
      </w:r>
      <w:r w:rsidR="00E27AA7">
        <w:rPr>
          <w:lang w:val="en-US"/>
        </w:rPr>
        <w:t>in the Settlement.</w:t>
      </w:r>
      <w:r w:rsidRPr="00320586">
        <w:rPr>
          <w:lang w:val="en-US"/>
        </w:rPr>
        <w:t xml:space="preserve"> With implementation scheduled for April 2021, it is crucial for local authority financial planning that the Government consults on proposals for reform</w:t>
      </w:r>
      <w:r w:rsidR="008A2DA6">
        <w:rPr>
          <w:lang w:val="en-US"/>
        </w:rPr>
        <w:t>,</w:t>
      </w:r>
      <w:r w:rsidRPr="00320586">
        <w:rPr>
          <w:lang w:val="en-US"/>
        </w:rPr>
        <w:t xml:space="preserve"> provides certainty to councils as soon as possible</w:t>
      </w:r>
      <w:r w:rsidR="008A2DA6">
        <w:rPr>
          <w:lang w:val="en-US"/>
        </w:rPr>
        <w:t xml:space="preserve"> and that no authority loses out as a result of the Review</w:t>
      </w:r>
      <w:r w:rsidRPr="00320586">
        <w:rPr>
          <w:lang w:val="en-US"/>
        </w:rPr>
        <w:t>.</w:t>
      </w:r>
    </w:p>
    <w:p w14:paraId="772A2743" w14:textId="77777777" w:rsidR="00320586" w:rsidRPr="00320586" w:rsidRDefault="00320586" w:rsidP="008D1A6F">
      <w:pPr>
        <w:pStyle w:val="ListParagraph"/>
        <w:numPr>
          <w:ilvl w:val="0"/>
          <w:numId w:val="0"/>
        </w:numPr>
        <w:spacing w:line="240" w:lineRule="auto"/>
        <w:ind w:left="831" w:hanging="720"/>
        <w:rPr>
          <w:lang w:val="en-US"/>
        </w:rPr>
      </w:pPr>
    </w:p>
    <w:p w14:paraId="27313B77" w14:textId="771EC469" w:rsidR="00320586" w:rsidRDefault="00320586" w:rsidP="008D1A6F">
      <w:pPr>
        <w:pStyle w:val="ListParagraph"/>
        <w:numPr>
          <w:ilvl w:val="1"/>
          <w:numId w:val="1"/>
        </w:numPr>
        <w:spacing w:line="240" w:lineRule="auto"/>
        <w:ind w:hanging="720"/>
        <w:rPr>
          <w:lang w:val="en-US"/>
        </w:rPr>
      </w:pPr>
      <w:r w:rsidRPr="00320586">
        <w:rPr>
          <w:lang w:val="en-US"/>
        </w:rPr>
        <w:t xml:space="preserve">We are </w:t>
      </w:r>
      <w:r w:rsidR="002968EA">
        <w:rPr>
          <w:lang w:val="en-US"/>
        </w:rPr>
        <w:t>pleased</w:t>
      </w:r>
      <w:r w:rsidRPr="00320586">
        <w:rPr>
          <w:lang w:val="en-US"/>
        </w:rPr>
        <w:t xml:space="preserve"> that in the 2019 Spending Round the Government announced a real terms increase in the public health budget. We call on government to provide councils with clarity on the funding available in 2020/21 as soon as possible. The current delay to the announcement is making it extremely difficult for councils to plan effectively.</w:t>
      </w:r>
    </w:p>
    <w:p w14:paraId="709F667D" w14:textId="10A96CBF" w:rsidR="00E12466" w:rsidRDefault="00E12466" w:rsidP="008D1A6F">
      <w:pPr>
        <w:pStyle w:val="ListParagraph"/>
        <w:numPr>
          <w:ilvl w:val="0"/>
          <w:numId w:val="0"/>
        </w:numPr>
        <w:ind w:left="360" w:hanging="720"/>
        <w:rPr>
          <w:lang w:val="en-US"/>
        </w:rPr>
      </w:pPr>
    </w:p>
    <w:p w14:paraId="364176D1" w14:textId="77777777" w:rsidR="00E12466" w:rsidRDefault="00E12466" w:rsidP="008D1A6F">
      <w:pPr>
        <w:pStyle w:val="ListParagraph"/>
        <w:numPr>
          <w:ilvl w:val="1"/>
          <w:numId w:val="1"/>
        </w:numPr>
        <w:spacing w:line="240" w:lineRule="auto"/>
        <w:ind w:hanging="720"/>
        <w:rPr>
          <w:lang w:val="en-US"/>
        </w:rPr>
      </w:pPr>
      <w:r w:rsidRPr="00CD2328">
        <w:rPr>
          <w:lang w:val="en-US"/>
        </w:rPr>
        <w:t>We will continue to promote the role councils play in making a huge difference to the lives of our residents and communities. We look forward to working with the Government as a vital partner to help deliver its commitment to levelling up powers and investment in local areas in the run up to the 2020 Spending Review.</w:t>
      </w:r>
    </w:p>
    <w:p w14:paraId="5D86EF09" w14:textId="77777777" w:rsidR="00320586" w:rsidRPr="00320586" w:rsidRDefault="00320586" w:rsidP="008D1A6F">
      <w:pPr>
        <w:pStyle w:val="ListParagraph"/>
        <w:numPr>
          <w:ilvl w:val="0"/>
          <w:numId w:val="0"/>
        </w:numPr>
        <w:spacing w:line="240" w:lineRule="auto"/>
        <w:ind w:left="831" w:hanging="720"/>
        <w:rPr>
          <w:lang w:val="en-US"/>
        </w:rPr>
      </w:pPr>
    </w:p>
    <w:p w14:paraId="1C8D04EA" w14:textId="49EF29AE" w:rsidR="00320586" w:rsidRPr="00320586" w:rsidRDefault="00320586" w:rsidP="008D1A6F">
      <w:pPr>
        <w:pStyle w:val="ListParagraph"/>
        <w:numPr>
          <w:ilvl w:val="1"/>
          <w:numId w:val="1"/>
        </w:numPr>
        <w:spacing w:line="240" w:lineRule="auto"/>
        <w:ind w:hanging="720"/>
        <w:rPr>
          <w:lang w:val="en-US"/>
        </w:rPr>
      </w:pPr>
      <w:r w:rsidRPr="00320586">
        <w:rPr>
          <w:lang w:val="en-US"/>
        </w:rPr>
        <w:t>The LGA strongly agrees with the recommendation in the Hudson Review that the final settlement should be announced no later than 31 January, and the provisional</w:t>
      </w:r>
      <w:r w:rsidR="008D1A6F">
        <w:rPr>
          <w:lang w:val="en-US"/>
        </w:rPr>
        <w:t xml:space="preserve"> settlement around 5 December. </w:t>
      </w:r>
      <w:r w:rsidRPr="00320586">
        <w:rPr>
          <w:lang w:val="en-US"/>
        </w:rPr>
        <w:t>Clearly it was not possible to meet that timetable for the Provisional Settlement this year. We are pleased that the Government listened to our call for the publication of this Settlement before Christmas. We hope that the final settlement will be published as near to 31 January as possible and that in future years it will be possible to meet the timetable outlined in the Review.</w:t>
      </w: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662A6E">
          <w:pPr>
            <w:ind w:left="360" w:hanging="360"/>
            <w:rPr>
              <w:rStyle w:val="ReportTemplate"/>
            </w:rPr>
          </w:pPr>
          <w:r>
            <w:rPr>
              <w:rStyle w:val="Style6"/>
            </w:rPr>
            <w:t>Next steps</w:t>
          </w:r>
        </w:p>
      </w:sdtContent>
    </w:sdt>
    <w:p w14:paraId="14A48137" w14:textId="4C081C07" w:rsidR="00A73EE1" w:rsidRDefault="00E27AA7" w:rsidP="00C21161">
      <w:pPr>
        <w:pStyle w:val="ListParagraph"/>
        <w:rPr>
          <w:rStyle w:val="ReportTemplate"/>
        </w:rPr>
      </w:pPr>
      <w:r>
        <w:rPr>
          <w:rStyle w:val="ReportTemplate"/>
        </w:rPr>
        <w:t xml:space="preserve">The LGA will brief Parliamentarians </w:t>
      </w:r>
      <w:r w:rsidR="002968EA">
        <w:rPr>
          <w:rStyle w:val="ReportTemplate"/>
        </w:rPr>
        <w:t xml:space="preserve">in advance of </w:t>
      </w:r>
      <w:r>
        <w:rPr>
          <w:rStyle w:val="ReportTemplate"/>
        </w:rPr>
        <w:t xml:space="preserve">the debate on the </w:t>
      </w:r>
      <w:r w:rsidR="002968EA">
        <w:rPr>
          <w:rStyle w:val="ReportTemplate"/>
        </w:rPr>
        <w:t xml:space="preserve">2020/21 </w:t>
      </w:r>
      <w:r>
        <w:rPr>
          <w:rStyle w:val="ReportTemplate"/>
        </w:rPr>
        <w:t xml:space="preserve">Final </w:t>
      </w:r>
      <w:r w:rsidR="002968EA">
        <w:rPr>
          <w:rStyle w:val="ReportTemplate"/>
        </w:rPr>
        <w:t xml:space="preserve">Local Government Finance </w:t>
      </w:r>
      <w:r>
        <w:rPr>
          <w:rStyle w:val="ReportTemplate"/>
        </w:rPr>
        <w:t>Settlement.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A52BF30" w14:textId="79E502C1" w:rsidR="00662A6E" w:rsidRDefault="002968EA" w:rsidP="00662A6E">
      <w:pPr>
        <w:pStyle w:val="ListParagraph"/>
        <w:rPr>
          <w:rStyle w:val="ReportTemplate"/>
        </w:rPr>
      </w:pPr>
      <w:r>
        <w:rPr>
          <w:rStyle w:val="ReportTemplate"/>
        </w:rPr>
        <w:t xml:space="preserve">The 2020/21 Provisional Local Government Finance Settlement is for England only. </w:t>
      </w:r>
      <w:r w:rsidR="00E92B1E">
        <w:rPr>
          <w:rStyle w:val="ReportTemplate"/>
        </w:rPr>
        <w:t>Local Government Finance is a devolved matter and the</w:t>
      </w:r>
      <w:r w:rsidR="0023321D" w:rsidRPr="0023321D">
        <w:rPr>
          <w:rStyle w:val="ReportTemplate"/>
        </w:rPr>
        <w:t xml:space="preserve"> Welsh LGA takes the lead on this work</w:t>
      </w:r>
      <w:r w:rsidR="00655E9A">
        <w:rPr>
          <w:rStyle w:val="ReportTemplate"/>
        </w:rPr>
        <w:t xml:space="preserve"> </w:t>
      </w:r>
      <w:r w:rsidR="00E92B1E">
        <w:rPr>
          <w:rStyle w:val="ReportTemplate"/>
        </w:rPr>
        <w:t>in Wales</w:t>
      </w:r>
      <w:r w:rsidR="0023321D" w:rsidRPr="0023321D">
        <w:rPr>
          <w:rStyle w:val="ReportTemplate"/>
        </w:rPr>
        <w:t>.</w:t>
      </w:r>
    </w:p>
    <w:p w14:paraId="5837A1C2" w14:textId="77777777" w:rsidR="009B6F95" w:rsidRPr="009B1AA8" w:rsidRDefault="008D1A6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E985570" w14:textId="35A3C297" w:rsidR="00634C78" w:rsidRDefault="0023321D" w:rsidP="00870691">
      <w:pPr>
        <w:pStyle w:val="ListParagraph"/>
        <w:rPr>
          <w:rStyle w:val="Title2"/>
          <w:b w:val="0"/>
          <w:sz w:val="22"/>
        </w:rPr>
      </w:pPr>
      <w:r w:rsidRPr="0023321D">
        <w:rPr>
          <w:rStyle w:val="Title2"/>
          <w:b w:val="0"/>
          <w:sz w:val="22"/>
        </w:rPr>
        <w:t>This is part of the LGA’s core programme of work and as such has been budgeted for in 2019/20 core work programme budgets.</w:t>
      </w:r>
    </w:p>
    <w:p w14:paraId="730AA9E6" w14:textId="77777777" w:rsidR="002650A3" w:rsidRDefault="002650A3" w:rsidP="00634C78">
      <w:pPr>
        <w:ind w:left="360" w:hanging="360"/>
        <w:rPr>
          <w:b/>
        </w:rPr>
      </w:pPr>
    </w:p>
    <w:p w14:paraId="40643999" w14:textId="6E64E310" w:rsidR="002650A3" w:rsidRPr="00CD60AF" w:rsidRDefault="002650A3" w:rsidP="00CD60AF">
      <w:pPr>
        <w:spacing w:line="259" w:lineRule="auto"/>
        <w:ind w:left="0" w:firstLine="0"/>
        <w:rPr>
          <w:b/>
        </w:rPr>
      </w:pPr>
    </w:p>
    <w:p w14:paraId="158F01EC" w14:textId="394AE109" w:rsidR="00FD6C5B" w:rsidRPr="00CD60AF" w:rsidRDefault="00FD6C5B" w:rsidP="00CD60AF">
      <w:pPr>
        <w:ind w:left="0" w:firstLine="0"/>
      </w:pPr>
    </w:p>
    <w:sectPr w:rsidR="00FD6C5B" w:rsidRPr="00CD60AF" w:rsidSect="002650A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FCF6" w14:textId="77777777" w:rsidR="00E12466" w:rsidRPr="00C803F3" w:rsidRDefault="00E12466" w:rsidP="00C803F3">
      <w:r>
        <w:separator/>
      </w:r>
    </w:p>
  </w:endnote>
  <w:endnote w:type="continuationSeparator" w:id="0">
    <w:p w14:paraId="0D3D2956" w14:textId="77777777" w:rsidR="00E12466" w:rsidRPr="00C803F3" w:rsidRDefault="00E12466" w:rsidP="00C803F3">
      <w:r>
        <w:continuationSeparator/>
      </w:r>
    </w:p>
  </w:endnote>
  <w:endnote w:type="continuationNotice" w:id="1">
    <w:p w14:paraId="62B19723" w14:textId="77777777" w:rsidR="00E12466" w:rsidRDefault="00E1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E12466" w:rsidRDefault="00E12466"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451AC07" w14:textId="77777777" w:rsidR="008D1A6F" w:rsidRDefault="008D1A6F" w:rsidP="003219CC">
    <w:pPr>
      <w:widowControl w:val="0"/>
      <w:spacing w:after="0" w:line="220" w:lineRule="exact"/>
      <w:ind w:left="-709" w:right="-852" w:firstLine="0"/>
      <w:rPr>
        <w:rFonts w:eastAsia="Times New Roman" w:cs="Arial"/>
        <w:sz w:val="15"/>
        <w:szCs w:val="15"/>
        <w:lang w:eastAsia="en-GB"/>
      </w:rPr>
    </w:pPr>
  </w:p>
  <w:p w14:paraId="041FE125" w14:textId="77777777" w:rsidR="008D1A6F" w:rsidRPr="003219CC" w:rsidRDefault="008D1A6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67AF" w14:textId="77777777" w:rsidR="00E12466" w:rsidRPr="00C803F3" w:rsidRDefault="00E12466" w:rsidP="00C803F3">
      <w:r>
        <w:separator/>
      </w:r>
    </w:p>
  </w:footnote>
  <w:footnote w:type="continuationSeparator" w:id="0">
    <w:p w14:paraId="1FD6C91D" w14:textId="77777777" w:rsidR="00E12466" w:rsidRPr="00C803F3" w:rsidRDefault="00E12466" w:rsidP="00C803F3">
      <w:r>
        <w:continuationSeparator/>
      </w:r>
    </w:p>
  </w:footnote>
  <w:footnote w:type="continuationNotice" w:id="1">
    <w:p w14:paraId="0311FA9E" w14:textId="77777777" w:rsidR="00E12466" w:rsidRDefault="00E124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3CCD" w14:textId="77777777" w:rsidR="008D1A6F" w:rsidRDefault="008D1A6F" w:rsidP="008D1A6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D1A6F" w:rsidRPr="00C25CA7" w14:paraId="51C2926F" w14:textId="77777777" w:rsidTr="00C160D6">
      <w:trPr>
        <w:trHeight w:val="416"/>
      </w:trPr>
      <w:tc>
        <w:tcPr>
          <w:tcW w:w="5812" w:type="dxa"/>
          <w:vMerge w:val="restart"/>
        </w:tcPr>
        <w:p w14:paraId="65B45851" w14:textId="77777777" w:rsidR="008D1A6F" w:rsidRPr="00C803F3" w:rsidRDefault="008D1A6F" w:rsidP="008D1A6F">
          <w:r w:rsidRPr="00C803F3">
            <w:rPr>
              <w:noProof/>
              <w:lang w:eastAsia="en-GB"/>
            </w:rPr>
            <w:drawing>
              <wp:inline distT="0" distB="0" distL="0" distR="0" wp14:anchorId="53EFFBB4" wp14:editId="3898194F">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1425421803"/>
          <w:placeholder>
            <w:docPart w:val="B5F080D55AA949F5B0694C73705F9F6A"/>
          </w:placeholder>
        </w:sdtPr>
        <w:sdtContent>
          <w:tc>
            <w:tcPr>
              <w:tcW w:w="4106" w:type="dxa"/>
            </w:tcPr>
            <w:p w14:paraId="52ACFF14" w14:textId="77777777" w:rsidR="008D1A6F" w:rsidRPr="00BC06A8" w:rsidRDefault="008D1A6F" w:rsidP="008D1A6F">
              <w:pPr>
                <w:ind w:left="0" w:firstLine="0"/>
                <w:rPr>
                  <w:b/>
                </w:rPr>
              </w:pPr>
              <w:r w:rsidRPr="00BC06A8">
                <w:rPr>
                  <w:b/>
                </w:rPr>
                <w:t>LGA Executive</w:t>
              </w:r>
            </w:p>
          </w:tc>
        </w:sdtContent>
      </w:sdt>
    </w:tr>
    <w:tr w:rsidR="008D1A6F" w14:paraId="45051C8D" w14:textId="77777777" w:rsidTr="00C160D6">
      <w:trPr>
        <w:trHeight w:val="406"/>
      </w:trPr>
      <w:tc>
        <w:tcPr>
          <w:tcW w:w="5812" w:type="dxa"/>
          <w:vMerge/>
        </w:tcPr>
        <w:p w14:paraId="307882F1" w14:textId="77777777" w:rsidR="008D1A6F" w:rsidRPr="00A627DD" w:rsidRDefault="008D1A6F" w:rsidP="008D1A6F"/>
      </w:tc>
      <w:tc>
        <w:tcPr>
          <w:tcW w:w="4106" w:type="dxa"/>
        </w:tcPr>
        <w:sdt>
          <w:sdtPr>
            <w:alias w:val="Date"/>
            <w:tag w:val="Date"/>
            <w:id w:val="-316039327"/>
            <w:placeholder>
              <w:docPart w:val="9D3E13E762904D12908C04DC32216937"/>
            </w:placeholder>
            <w:date w:fullDate="2020-01-23T00:00:00Z">
              <w:dateFormat w:val="dd MMMM yyyy"/>
              <w:lid w:val="en-GB"/>
              <w:storeMappedDataAs w:val="dateTime"/>
              <w:calendar w:val="gregorian"/>
            </w:date>
          </w:sdtPr>
          <w:sdtContent>
            <w:p w14:paraId="1A44307E" w14:textId="77777777" w:rsidR="008D1A6F" w:rsidRPr="00C803F3" w:rsidRDefault="008D1A6F" w:rsidP="008D1A6F">
              <w:r>
                <w:t>23 January 2020</w:t>
              </w:r>
            </w:p>
          </w:sdtContent>
        </w:sdt>
      </w:tc>
    </w:tr>
    <w:tr w:rsidR="008D1A6F" w:rsidRPr="00C25CA7" w14:paraId="70D5C4E8" w14:textId="77777777" w:rsidTr="00C160D6">
      <w:trPr>
        <w:trHeight w:val="89"/>
      </w:trPr>
      <w:tc>
        <w:tcPr>
          <w:tcW w:w="5812" w:type="dxa"/>
          <w:vMerge/>
        </w:tcPr>
        <w:p w14:paraId="702531B3" w14:textId="77777777" w:rsidR="008D1A6F" w:rsidRPr="00A627DD" w:rsidRDefault="008D1A6F" w:rsidP="008D1A6F"/>
      </w:tc>
      <w:tc>
        <w:tcPr>
          <w:tcW w:w="4106" w:type="dxa"/>
        </w:tcPr>
        <w:p w14:paraId="5DF0901E" w14:textId="77777777" w:rsidR="008D1A6F" w:rsidRPr="00C803F3" w:rsidRDefault="008D1A6F" w:rsidP="008D1A6F"/>
      </w:tc>
    </w:tr>
  </w:tbl>
  <w:p w14:paraId="10055E81" w14:textId="77777777" w:rsidR="008D1A6F" w:rsidRDefault="008D1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75CA673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24AE9"/>
    <w:multiLevelType w:val="hybridMultilevel"/>
    <w:tmpl w:val="5326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F112EC"/>
    <w:multiLevelType w:val="hybridMultilevel"/>
    <w:tmpl w:val="2D58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4"/>
  </w:num>
  <w:num w:numId="6">
    <w:abstractNumId w:val="4"/>
  </w:num>
  <w:num w:numId="7">
    <w:abstractNumId w:val="4"/>
  </w:num>
  <w:num w:numId="8">
    <w:abstractNumId w:val="0"/>
  </w:num>
  <w:num w:numId="9">
    <w:abstractNumId w:val="4"/>
  </w:num>
  <w:num w:numId="10">
    <w:abstractNumId w:val="4"/>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9"/>
  </w:num>
  <w:num w:numId="37">
    <w:abstractNumId w:val="2"/>
  </w:num>
  <w:num w:numId="38">
    <w:abstractNumId w:val="4"/>
  </w:num>
  <w:num w:numId="39">
    <w:abstractNumId w:val="8"/>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3A9D"/>
    <w:rsid w:val="00016097"/>
    <w:rsid w:val="00023EAA"/>
    <w:rsid w:val="000265B0"/>
    <w:rsid w:val="000379D8"/>
    <w:rsid w:val="0004165D"/>
    <w:rsid w:val="0004630B"/>
    <w:rsid w:val="00051B73"/>
    <w:rsid w:val="00053DBF"/>
    <w:rsid w:val="000556DF"/>
    <w:rsid w:val="000623AF"/>
    <w:rsid w:val="0006750A"/>
    <w:rsid w:val="00073DE2"/>
    <w:rsid w:val="000750D7"/>
    <w:rsid w:val="00077B22"/>
    <w:rsid w:val="00080541"/>
    <w:rsid w:val="000816E8"/>
    <w:rsid w:val="000838C8"/>
    <w:rsid w:val="000841B4"/>
    <w:rsid w:val="000953BE"/>
    <w:rsid w:val="00095811"/>
    <w:rsid w:val="00096C6D"/>
    <w:rsid w:val="000A2FB2"/>
    <w:rsid w:val="000C3F2B"/>
    <w:rsid w:val="000C5DBD"/>
    <w:rsid w:val="000D10C9"/>
    <w:rsid w:val="000D42D2"/>
    <w:rsid w:val="000D7F71"/>
    <w:rsid w:val="000E18AC"/>
    <w:rsid w:val="000F69FB"/>
    <w:rsid w:val="00107664"/>
    <w:rsid w:val="00111C8E"/>
    <w:rsid w:val="00112ADF"/>
    <w:rsid w:val="001140DD"/>
    <w:rsid w:val="001158AC"/>
    <w:rsid w:val="001267EC"/>
    <w:rsid w:val="0013671D"/>
    <w:rsid w:val="00142229"/>
    <w:rsid w:val="00143B04"/>
    <w:rsid w:val="0016194E"/>
    <w:rsid w:val="00163AF4"/>
    <w:rsid w:val="00172129"/>
    <w:rsid w:val="001847B7"/>
    <w:rsid w:val="00185621"/>
    <w:rsid w:val="00186D86"/>
    <w:rsid w:val="00192EEC"/>
    <w:rsid w:val="001943B0"/>
    <w:rsid w:val="00196380"/>
    <w:rsid w:val="00196B62"/>
    <w:rsid w:val="001B023A"/>
    <w:rsid w:val="001B08E5"/>
    <w:rsid w:val="001B289D"/>
    <w:rsid w:val="001B36CE"/>
    <w:rsid w:val="001B6F00"/>
    <w:rsid w:val="001C45F4"/>
    <w:rsid w:val="001E6237"/>
    <w:rsid w:val="001F76D5"/>
    <w:rsid w:val="002071CE"/>
    <w:rsid w:val="00215B74"/>
    <w:rsid w:val="00216B82"/>
    <w:rsid w:val="00220ACD"/>
    <w:rsid w:val="002331E4"/>
    <w:rsid w:val="0023321D"/>
    <w:rsid w:val="00240F63"/>
    <w:rsid w:val="00244918"/>
    <w:rsid w:val="00251FA0"/>
    <w:rsid w:val="002539E9"/>
    <w:rsid w:val="002624F8"/>
    <w:rsid w:val="00263398"/>
    <w:rsid w:val="00264E48"/>
    <w:rsid w:val="002650A3"/>
    <w:rsid w:val="00267FAD"/>
    <w:rsid w:val="002714AE"/>
    <w:rsid w:val="00271F63"/>
    <w:rsid w:val="002737F0"/>
    <w:rsid w:val="00285F4E"/>
    <w:rsid w:val="002867B7"/>
    <w:rsid w:val="002968EA"/>
    <w:rsid w:val="0029757D"/>
    <w:rsid w:val="002A083E"/>
    <w:rsid w:val="002A544E"/>
    <w:rsid w:val="002A6390"/>
    <w:rsid w:val="002A6933"/>
    <w:rsid w:val="002B0496"/>
    <w:rsid w:val="002C4180"/>
    <w:rsid w:val="002C6C1A"/>
    <w:rsid w:val="002D0F98"/>
    <w:rsid w:val="002D236B"/>
    <w:rsid w:val="002D721E"/>
    <w:rsid w:val="002E1F4C"/>
    <w:rsid w:val="002E7FE0"/>
    <w:rsid w:val="002F1B86"/>
    <w:rsid w:val="0030054D"/>
    <w:rsid w:val="00300BBB"/>
    <w:rsid w:val="00301A51"/>
    <w:rsid w:val="0030435E"/>
    <w:rsid w:val="003066BB"/>
    <w:rsid w:val="00320586"/>
    <w:rsid w:val="003213F7"/>
    <w:rsid w:val="003219CC"/>
    <w:rsid w:val="00332266"/>
    <w:rsid w:val="00343DEC"/>
    <w:rsid w:val="003479FD"/>
    <w:rsid w:val="003553C6"/>
    <w:rsid w:val="00361B14"/>
    <w:rsid w:val="00361B54"/>
    <w:rsid w:val="00375564"/>
    <w:rsid w:val="00375BCD"/>
    <w:rsid w:val="00377C43"/>
    <w:rsid w:val="00394327"/>
    <w:rsid w:val="003A0C2C"/>
    <w:rsid w:val="003B1A40"/>
    <w:rsid w:val="003B3C4E"/>
    <w:rsid w:val="003D02D8"/>
    <w:rsid w:val="003D2F3D"/>
    <w:rsid w:val="003D68CE"/>
    <w:rsid w:val="003D6DBC"/>
    <w:rsid w:val="003E51EB"/>
    <w:rsid w:val="003F3F3E"/>
    <w:rsid w:val="003F44BA"/>
    <w:rsid w:val="003F6609"/>
    <w:rsid w:val="004008EF"/>
    <w:rsid w:val="0040352B"/>
    <w:rsid w:val="004056E7"/>
    <w:rsid w:val="00410D75"/>
    <w:rsid w:val="00412FF6"/>
    <w:rsid w:val="00424A7D"/>
    <w:rsid w:val="00425986"/>
    <w:rsid w:val="0043487C"/>
    <w:rsid w:val="0043565E"/>
    <w:rsid w:val="004372F0"/>
    <w:rsid w:val="004417B0"/>
    <w:rsid w:val="00442103"/>
    <w:rsid w:val="004679FE"/>
    <w:rsid w:val="00472D52"/>
    <w:rsid w:val="00476F71"/>
    <w:rsid w:val="0048231A"/>
    <w:rsid w:val="00483D40"/>
    <w:rsid w:val="00487BC5"/>
    <w:rsid w:val="00492EEA"/>
    <w:rsid w:val="00494C19"/>
    <w:rsid w:val="004A0602"/>
    <w:rsid w:val="004A5B4F"/>
    <w:rsid w:val="004B0CD4"/>
    <w:rsid w:val="004B124D"/>
    <w:rsid w:val="004B4E82"/>
    <w:rsid w:val="004E6702"/>
    <w:rsid w:val="004F18D2"/>
    <w:rsid w:val="00504425"/>
    <w:rsid w:val="005302F0"/>
    <w:rsid w:val="00536E30"/>
    <w:rsid w:val="0055576A"/>
    <w:rsid w:val="00565D97"/>
    <w:rsid w:val="00566376"/>
    <w:rsid w:val="00571823"/>
    <w:rsid w:val="005730E7"/>
    <w:rsid w:val="005739A5"/>
    <w:rsid w:val="005765BD"/>
    <w:rsid w:val="00584F92"/>
    <w:rsid w:val="005873E1"/>
    <w:rsid w:val="005A7DB9"/>
    <w:rsid w:val="005B1124"/>
    <w:rsid w:val="005B43B7"/>
    <w:rsid w:val="005B7BEA"/>
    <w:rsid w:val="005C0276"/>
    <w:rsid w:val="005D0E9F"/>
    <w:rsid w:val="005E491F"/>
    <w:rsid w:val="005F3347"/>
    <w:rsid w:val="005F7822"/>
    <w:rsid w:val="00604E45"/>
    <w:rsid w:val="00604FFD"/>
    <w:rsid w:val="00605A31"/>
    <w:rsid w:val="00624654"/>
    <w:rsid w:val="006246B5"/>
    <w:rsid w:val="006263AF"/>
    <w:rsid w:val="00631508"/>
    <w:rsid w:val="00634C78"/>
    <w:rsid w:val="00636D87"/>
    <w:rsid w:val="00637417"/>
    <w:rsid w:val="0064045E"/>
    <w:rsid w:val="006431F0"/>
    <w:rsid w:val="00644D49"/>
    <w:rsid w:val="00645452"/>
    <w:rsid w:val="00647FC7"/>
    <w:rsid w:val="00655D7B"/>
    <w:rsid w:val="00655E9A"/>
    <w:rsid w:val="006607BF"/>
    <w:rsid w:val="00662040"/>
    <w:rsid w:val="00662A6E"/>
    <w:rsid w:val="00663A06"/>
    <w:rsid w:val="00673155"/>
    <w:rsid w:val="00674857"/>
    <w:rsid w:val="00674CE5"/>
    <w:rsid w:val="006801FB"/>
    <w:rsid w:val="00685F92"/>
    <w:rsid w:val="006A1E63"/>
    <w:rsid w:val="006A68F0"/>
    <w:rsid w:val="006B316D"/>
    <w:rsid w:val="006D1360"/>
    <w:rsid w:val="006D20E4"/>
    <w:rsid w:val="006D46E4"/>
    <w:rsid w:val="006D61C8"/>
    <w:rsid w:val="00701D31"/>
    <w:rsid w:val="0071204D"/>
    <w:rsid w:val="00712C86"/>
    <w:rsid w:val="007404CF"/>
    <w:rsid w:val="00745EED"/>
    <w:rsid w:val="007462BD"/>
    <w:rsid w:val="007622BA"/>
    <w:rsid w:val="00770FA4"/>
    <w:rsid w:val="00776489"/>
    <w:rsid w:val="00777917"/>
    <w:rsid w:val="0078018E"/>
    <w:rsid w:val="00782B08"/>
    <w:rsid w:val="00795A2F"/>
    <w:rsid w:val="00795C95"/>
    <w:rsid w:val="007A0A9D"/>
    <w:rsid w:val="007A0E4D"/>
    <w:rsid w:val="007B170E"/>
    <w:rsid w:val="007C71DE"/>
    <w:rsid w:val="007D7D95"/>
    <w:rsid w:val="007E322C"/>
    <w:rsid w:val="007E3663"/>
    <w:rsid w:val="00800F66"/>
    <w:rsid w:val="00802461"/>
    <w:rsid w:val="0080661C"/>
    <w:rsid w:val="00814222"/>
    <w:rsid w:val="00814F8D"/>
    <w:rsid w:val="00816C91"/>
    <w:rsid w:val="00823740"/>
    <w:rsid w:val="008278C1"/>
    <w:rsid w:val="0083734C"/>
    <w:rsid w:val="00842FEE"/>
    <w:rsid w:val="00847ECF"/>
    <w:rsid w:val="008602B0"/>
    <w:rsid w:val="00861A49"/>
    <w:rsid w:val="00864AB6"/>
    <w:rsid w:val="008662FB"/>
    <w:rsid w:val="00870691"/>
    <w:rsid w:val="00870E26"/>
    <w:rsid w:val="00880395"/>
    <w:rsid w:val="00883B8E"/>
    <w:rsid w:val="0088665C"/>
    <w:rsid w:val="00886FAF"/>
    <w:rsid w:val="00887CD4"/>
    <w:rsid w:val="00891AE9"/>
    <w:rsid w:val="008A2DA6"/>
    <w:rsid w:val="008A6DE1"/>
    <w:rsid w:val="008C7C36"/>
    <w:rsid w:val="008D116A"/>
    <w:rsid w:val="008D1A6F"/>
    <w:rsid w:val="008D2355"/>
    <w:rsid w:val="008D6D23"/>
    <w:rsid w:val="008F4D06"/>
    <w:rsid w:val="008F73E1"/>
    <w:rsid w:val="00904DE4"/>
    <w:rsid w:val="009147F2"/>
    <w:rsid w:val="00917D03"/>
    <w:rsid w:val="00927573"/>
    <w:rsid w:val="0092778A"/>
    <w:rsid w:val="00932794"/>
    <w:rsid w:val="0093489C"/>
    <w:rsid w:val="0094324C"/>
    <w:rsid w:val="00944FE9"/>
    <w:rsid w:val="00952654"/>
    <w:rsid w:val="00954C50"/>
    <w:rsid w:val="009625AF"/>
    <w:rsid w:val="00963C02"/>
    <w:rsid w:val="00963F44"/>
    <w:rsid w:val="00970ED5"/>
    <w:rsid w:val="00973BB7"/>
    <w:rsid w:val="00974521"/>
    <w:rsid w:val="00975FB9"/>
    <w:rsid w:val="009822D8"/>
    <w:rsid w:val="009838C6"/>
    <w:rsid w:val="00983DAB"/>
    <w:rsid w:val="0098437B"/>
    <w:rsid w:val="00987E9B"/>
    <w:rsid w:val="009A0F89"/>
    <w:rsid w:val="009A3CC2"/>
    <w:rsid w:val="009B1AA8"/>
    <w:rsid w:val="009B6F95"/>
    <w:rsid w:val="009C103F"/>
    <w:rsid w:val="009C1BC9"/>
    <w:rsid w:val="009C665A"/>
    <w:rsid w:val="009D10C4"/>
    <w:rsid w:val="009D1C40"/>
    <w:rsid w:val="009D7C3F"/>
    <w:rsid w:val="009E1509"/>
    <w:rsid w:val="009E1B33"/>
    <w:rsid w:val="009E379C"/>
    <w:rsid w:val="009E3ECC"/>
    <w:rsid w:val="00A01C0A"/>
    <w:rsid w:val="00A034BD"/>
    <w:rsid w:val="00A15C28"/>
    <w:rsid w:val="00A23316"/>
    <w:rsid w:val="00A46E03"/>
    <w:rsid w:val="00A4783B"/>
    <w:rsid w:val="00A557BC"/>
    <w:rsid w:val="00A56349"/>
    <w:rsid w:val="00A7179F"/>
    <w:rsid w:val="00A721BD"/>
    <w:rsid w:val="00A73EE1"/>
    <w:rsid w:val="00A86EAF"/>
    <w:rsid w:val="00AC244A"/>
    <w:rsid w:val="00AC2785"/>
    <w:rsid w:val="00AC3506"/>
    <w:rsid w:val="00AD0675"/>
    <w:rsid w:val="00AD551F"/>
    <w:rsid w:val="00AE4C5A"/>
    <w:rsid w:val="00B03EED"/>
    <w:rsid w:val="00B0430E"/>
    <w:rsid w:val="00B07C3B"/>
    <w:rsid w:val="00B105DE"/>
    <w:rsid w:val="00B10E23"/>
    <w:rsid w:val="00B12A3E"/>
    <w:rsid w:val="00B15F7C"/>
    <w:rsid w:val="00B173E5"/>
    <w:rsid w:val="00B219DD"/>
    <w:rsid w:val="00B21B67"/>
    <w:rsid w:val="00B246BF"/>
    <w:rsid w:val="00B2545E"/>
    <w:rsid w:val="00B36AD4"/>
    <w:rsid w:val="00B37A11"/>
    <w:rsid w:val="00B420CB"/>
    <w:rsid w:val="00B43601"/>
    <w:rsid w:val="00B559AA"/>
    <w:rsid w:val="00B601F6"/>
    <w:rsid w:val="00B6115D"/>
    <w:rsid w:val="00B73855"/>
    <w:rsid w:val="00B80637"/>
    <w:rsid w:val="00B84938"/>
    <w:rsid w:val="00B84F31"/>
    <w:rsid w:val="00B92E4C"/>
    <w:rsid w:val="00B93735"/>
    <w:rsid w:val="00B94C1C"/>
    <w:rsid w:val="00B9631C"/>
    <w:rsid w:val="00BA0AC6"/>
    <w:rsid w:val="00BA1A3D"/>
    <w:rsid w:val="00BA2611"/>
    <w:rsid w:val="00BB0F08"/>
    <w:rsid w:val="00BB72DC"/>
    <w:rsid w:val="00BC1D8A"/>
    <w:rsid w:val="00BD47B0"/>
    <w:rsid w:val="00BF03E9"/>
    <w:rsid w:val="00C120FE"/>
    <w:rsid w:val="00C15035"/>
    <w:rsid w:val="00C21161"/>
    <w:rsid w:val="00C2411D"/>
    <w:rsid w:val="00C2417F"/>
    <w:rsid w:val="00C56F87"/>
    <w:rsid w:val="00C61F80"/>
    <w:rsid w:val="00C803F3"/>
    <w:rsid w:val="00C93E55"/>
    <w:rsid w:val="00C94784"/>
    <w:rsid w:val="00C975E9"/>
    <w:rsid w:val="00CB1958"/>
    <w:rsid w:val="00CC30E9"/>
    <w:rsid w:val="00CC3201"/>
    <w:rsid w:val="00CD3A30"/>
    <w:rsid w:val="00CD50B5"/>
    <w:rsid w:val="00CD60AF"/>
    <w:rsid w:val="00CD7B8F"/>
    <w:rsid w:val="00CF5624"/>
    <w:rsid w:val="00D17C81"/>
    <w:rsid w:val="00D20863"/>
    <w:rsid w:val="00D25D17"/>
    <w:rsid w:val="00D37E26"/>
    <w:rsid w:val="00D45B4D"/>
    <w:rsid w:val="00D47548"/>
    <w:rsid w:val="00D6025A"/>
    <w:rsid w:val="00D6451A"/>
    <w:rsid w:val="00D66EA9"/>
    <w:rsid w:val="00D675B2"/>
    <w:rsid w:val="00D67ABE"/>
    <w:rsid w:val="00D86F68"/>
    <w:rsid w:val="00D87206"/>
    <w:rsid w:val="00D913BA"/>
    <w:rsid w:val="00D91AD4"/>
    <w:rsid w:val="00D91CDE"/>
    <w:rsid w:val="00D934B3"/>
    <w:rsid w:val="00DA7394"/>
    <w:rsid w:val="00DB2608"/>
    <w:rsid w:val="00DC0D60"/>
    <w:rsid w:val="00DD4AB1"/>
    <w:rsid w:val="00E03367"/>
    <w:rsid w:val="00E044BE"/>
    <w:rsid w:val="00E04B78"/>
    <w:rsid w:val="00E0706A"/>
    <w:rsid w:val="00E11A72"/>
    <w:rsid w:val="00E12466"/>
    <w:rsid w:val="00E27AA7"/>
    <w:rsid w:val="00E3308D"/>
    <w:rsid w:val="00E35FAA"/>
    <w:rsid w:val="00E54D75"/>
    <w:rsid w:val="00E6161B"/>
    <w:rsid w:val="00E63A26"/>
    <w:rsid w:val="00E74B73"/>
    <w:rsid w:val="00E7558A"/>
    <w:rsid w:val="00E9202C"/>
    <w:rsid w:val="00E92B1E"/>
    <w:rsid w:val="00EB1B28"/>
    <w:rsid w:val="00EB7798"/>
    <w:rsid w:val="00EC2818"/>
    <w:rsid w:val="00EC7C08"/>
    <w:rsid w:val="00ED11EC"/>
    <w:rsid w:val="00ED5C03"/>
    <w:rsid w:val="00EE38FF"/>
    <w:rsid w:val="00F030D2"/>
    <w:rsid w:val="00F04228"/>
    <w:rsid w:val="00F04BF7"/>
    <w:rsid w:val="00F1129B"/>
    <w:rsid w:val="00F147E2"/>
    <w:rsid w:val="00F15C0A"/>
    <w:rsid w:val="00F271EE"/>
    <w:rsid w:val="00F360A7"/>
    <w:rsid w:val="00F40A8D"/>
    <w:rsid w:val="00F43806"/>
    <w:rsid w:val="00F45826"/>
    <w:rsid w:val="00F50CBB"/>
    <w:rsid w:val="00F55AF0"/>
    <w:rsid w:val="00F65971"/>
    <w:rsid w:val="00F75089"/>
    <w:rsid w:val="00F77DF2"/>
    <w:rsid w:val="00F819F5"/>
    <w:rsid w:val="00F828B2"/>
    <w:rsid w:val="00F83493"/>
    <w:rsid w:val="00F8419F"/>
    <w:rsid w:val="00F94AAC"/>
    <w:rsid w:val="00FA269A"/>
    <w:rsid w:val="00FB5C3D"/>
    <w:rsid w:val="00FC2DE4"/>
    <w:rsid w:val="00FC3F24"/>
    <w:rsid w:val="00FC7B5E"/>
    <w:rsid w:val="00FD19D6"/>
    <w:rsid w:val="00FD5B4D"/>
    <w:rsid w:val="00FD5C84"/>
    <w:rsid w:val="00FD6C5B"/>
    <w:rsid w:val="00FE088B"/>
    <w:rsid w:val="00FE1B7E"/>
    <w:rsid w:val="00FE29C0"/>
    <w:rsid w:val="00FE3383"/>
    <w:rsid w:val="00FE43DC"/>
    <w:rsid w:val="00FF5D90"/>
    <w:rsid w:val="00FF6316"/>
    <w:rsid w:val="00FF6501"/>
    <w:rsid w:val="013B0097"/>
    <w:rsid w:val="0A64F759"/>
    <w:rsid w:val="101B8715"/>
    <w:rsid w:val="12C4CA08"/>
    <w:rsid w:val="12CAF9E6"/>
    <w:rsid w:val="147CDB21"/>
    <w:rsid w:val="1B20D238"/>
    <w:rsid w:val="20F9A578"/>
    <w:rsid w:val="2A70B147"/>
    <w:rsid w:val="2D07AA54"/>
    <w:rsid w:val="342BC85F"/>
    <w:rsid w:val="35A4AC5D"/>
    <w:rsid w:val="36F79458"/>
    <w:rsid w:val="3AC9E39C"/>
    <w:rsid w:val="3BDAB431"/>
    <w:rsid w:val="45C2BA9A"/>
    <w:rsid w:val="45C50EFF"/>
    <w:rsid w:val="4B114954"/>
    <w:rsid w:val="4B115E84"/>
    <w:rsid w:val="4BFB2008"/>
    <w:rsid w:val="4ECEC141"/>
    <w:rsid w:val="50017B43"/>
    <w:rsid w:val="555048CC"/>
    <w:rsid w:val="5F8E1632"/>
    <w:rsid w:val="5F976ED6"/>
    <w:rsid w:val="612780D5"/>
    <w:rsid w:val="616277B8"/>
    <w:rsid w:val="62950A7C"/>
    <w:rsid w:val="62E63881"/>
    <w:rsid w:val="69FD0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5837A195"/>
  <w15:docId w15:val="{1F2409BD-095D-8F41-8986-CF81FB4F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7548"/>
    <w:pPr>
      <w:ind w:left="0" w:firstLine="0"/>
    </w:pPr>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 w:type="paragraph" w:customStyle="1" w:styleId="legclearfix">
    <w:name w:val="legclearfix"/>
    <w:basedOn w:val="Normal"/>
    <w:rsid w:val="00D86F68"/>
    <w:pPr>
      <w:spacing w:before="100" w:beforeAutospacing="1" w:after="100" w:afterAutospacing="1" w:line="240" w:lineRule="auto"/>
      <w:ind w:left="0" w:firstLine="0"/>
    </w:pPr>
    <w:rPr>
      <w:rFonts w:ascii="Times New Roman" w:eastAsiaTheme="minorEastAsia" w:hAnsi="Times New Roman" w:cs="Times New Roman"/>
      <w:sz w:val="24"/>
      <w:szCs w:val="24"/>
      <w:lang w:eastAsia="en-GB"/>
    </w:rPr>
  </w:style>
  <w:style w:type="character" w:customStyle="1" w:styleId="legds">
    <w:name w:val="legds"/>
    <w:basedOn w:val="DefaultParagraphFont"/>
    <w:rsid w:val="00D86F68"/>
  </w:style>
  <w:style w:type="character" w:customStyle="1" w:styleId="UnresolvedMention">
    <w:name w:val="Unresolved Mention"/>
    <w:basedOn w:val="DefaultParagraphFont"/>
    <w:uiPriority w:val="99"/>
    <w:semiHidden/>
    <w:unhideWhenUsed/>
    <w:rsid w:val="0090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531">
      <w:bodyDiv w:val="1"/>
      <w:marLeft w:val="0"/>
      <w:marRight w:val="0"/>
      <w:marTop w:val="0"/>
      <w:marBottom w:val="0"/>
      <w:divBdr>
        <w:top w:val="none" w:sz="0" w:space="0" w:color="auto"/>
        <w:left w:val="none" w:sz="0" w:space="0" w:color="auto"/>
        <w:bottom w:val="none" w:sz="0" w:space="0" w:color="auto"/>
        <w:right w:val="none" w:sz="0" w:space="0" w:color="auto"/>
      </w:divBdr>
    </w:div>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sites/default/files/documents/Local%20Government%20Finance%20Settlement%202021%20LGA%20response%20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lga-responds-local-government-finance-settl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provisional-local-government-finance-settlement-202021-d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94B72A9C30F34FD9A3E14B3BBE1328CF"/>
        <w:category>
          <w:name w:val="General"/>
          <w:gallery w:val="placeholder"/>
        </w:category>
        <w:types>
          <w:type w:val="bbPlcHdr"/>
        </w:types>
        <w:behaviors>
          <w:behavior w:val="content"/>
        </w:behaviors>
        <w:guid w:val="{B0A4FAEC-4536-455E-A977-BA4D8CB63AF2}"/>
      </w:docPartPr>
      <w:docPartBody>
        <w:p w:rsidR="00EA69E0" w:rsidRDefault="00EA69E0" w:rsidP="00EA69E0">
          <w:pPr>
            <w:pStyle w:val="94B72A9C30F34FD9A3E14B3BBE1328CF"/>
          </w:pPr>
          <w:r w:rsidRPr="00FB1144">
            <w:rPr>
              <w:rStyle w:val="PlaceholderText"/>
            </w:rPr>
            <w:t>Click here to enter text.</w:t>
          </w:r>
        </w:p>
      </w:docPartBody>
    </w:docPart>
    <w:docPart>
      <w:docPartPr>
        <w:name w:val="B5F080D55AA949F5B0694C73705F9F6A"/>
        <w:category>
          <w:name w:val="General"/>
          <w:gallery w:val="placeholder"/>
        </w:category>
        <w:types>
          <w:type w:val="bbPlcHdr"/>
        </w:types>
        <w:behaviors>
          <w:behavior w:val="content"/>
        </w:behaviors>
        <w:guid w:val="{C8190DF1-96F1-4382-A499-0C8B9117BB68}"/>
      </w:docPartPr>
      <w:docPartBody>
        <w:p w:rsidR="00000000" w:rsidRDefault="00184674" w:rsidP="00184674">
          <w:pPr>
            <w:pStyle w:val="B5F080D55AA949F5B0694C73705F9F6A"/>
          </w:pPr>
          <w:r w:rsidRPr="00FB1144">
            <w:rPr>
              <w:rStyle w:val="PlaceholderText"/>
            </w:rPr>
            <w:t>Click here to enter text.</w:t>
          </w:r>
        </w:p>
      </w:docPartBody>
    </w:docPart>
    <w:docPart>
      <w:docPartPr>
        <w:name w:val="9D3E13E762904D12908C04DC32216937"/>
        <w:category>
          <w:name w:val="General"/>
          <w:gallery w:val="placeholder"/>
        </w:category>
        <w:types>
          <w:type w:val="bbPlcHdr"/>
        </w:types>
        <w:behaviors>
          <w:behavior w:val="content"/>
        </w:behaviors>
        <w:guid w:val="{561BAABC-EBD7-4C9B-B676-9FAECA7683A4}"/>
      </w:docPartPr>
      <w:docPartBody>
        <w:p w:rsidR="00000000" w:rsidRDefault="00184674" w:rsidP="00184674">
          <w:pPr>
            <w:pStyle w:val="9D3E13E762904D12908C04DC3221693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53F"/>
    <w:rsid w:val="000A2D0A"/>
    <w:rsid w:val="00184674"/>
    <w:rsid w:val="001C79DF"/>
    <w:rsid w:val="0023208F"/>
    <w:rsid w:val="0028733F"/>
    <w:rsid w:val="002F1F5C"/>
    <w:rsid w:val="003050C8"/>
    <w:rsid w:val="00332B27"/>
    <w:rsid w:val="00353CB9"/>
    <w:rsid w:val="0035440C"/>
    <w:rsid w:val="0036673C"/>
    <w:rsid w:val="003E1D70"/>
    <w:rsid w:val="00412885"/>
    <w:rsid w:val="004276A3"/>
    <w:rsid w:val="0043627D"/>
    <w:rsid w:val="00450A8F"/>
    <w:rsid w:val="004A5772"/>
    <w:rsid w:val="004B3C1D"/>
    <w:rsid w:val="004C6E1A"/>
    <w:rsid w:val="004E2C7C"/>
    <w:rsid w:val="0055719C"/>
    <w:rsid w:val="00591401"/>
    <w:rsid w:val="005D4BDA"/>
    <w:rsid w:val="005E7188"/>
    <w:rsid w:val="00604940"/>
    <w:rsid w:val="00633929"/>
    <w:rsid w:val="006C6385"/>
    <w:rsid w:val="007C52FB"/>
    <w:rsid w:val="007D0BCA"/>
    <w:rsid w:val="00897F5C"/>
    <w:rsid w:val="0092233F"/>
    <w:rsid w:val="00947170"/>
    <w:rsid w:val="00A47DFF"/>
    <w:rsid w:val="00A94204"/>
    <w:rsid w:val="00AA42FC"/>
    <w:rsid w:val="00AB713B"/>
    <w:rsid w:val="00B363AD"/>
    <w:rsid w:val="00B710F9"/>
    <w:rsid w:val="00B77BF6"/>
    <w:rsid w:val="00BA195A"/>
    <w:rsid w:val="00C27CE8"/>
    <w:rsid w:val="00C57CD5"/>
    <w:rsid w:val="00C65D5F"/>
    <w:rsid w:val="00C942FE"/>
    <w:rsid w:val="00CF6EBE"/>
    <w:rsid w:val="00E20A43"/>
    <w:rsid w:val="00E21948"/>
    <w:rsid w:val="00E318F9"/>
    <w:rsid w:val="00E5188C"/>
    <w:rsid w:val="00E92342"/>
    <w:rsid w:val="00EA607A"/>
    <w:rsid w:val="00EA69E0"/>
    <w:rsid w:val="00EB3973"/>
    <w:rsid w:val="00EE1FE1"/>
    <w:rsid w:val="00F0685C"/>
    <w:rsid w:val="00F23056"/>
    <w:rsid w:val="00F56899"/>
    <w:rsid w:val="00FD3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67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 w:type="paragraph" w:customStyle="1" w:styleId="94B72A9C30F34FD9A3E14B3BBE1328CF">
    <w:name w:val="94B72A9C30F34FD9A3E14B3BBE1328CF"/>
    <w:rsid w:val="00EA69E0"/>
    <w:rPr>
      <w:lang w:eastAsia="en-GB"/>
    </w:rPr>
  </w:style>
  <w:style w:type="paragraph" w:customStyle="1" w:styleId="B5F080D55AA949F5B0694C73705F9F6A">
    <w:name w:val="B5F080D55AA949F5B0694C73705F9F6A"/>
    <w:rsid w:val="00184674"/>
    <w:rPr>
      <w:lang w:eastAsia="en-GB"/>
    </w:rPr>
  </w:style>
  <w:style w:type="paragraph" w:customStyle="1" w:styleId="9D3E13E762904D12908C04DC32216937">
    <w:name w:val="9D3E13E762904D12908C04DC32216937"/>
    <w:rsid w:val="0018467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846c3db3-041b-47fd-b02b-1debea70191d"/>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3320922-3aa3-40cb-b26e-1bfebf93309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2F2014E9-762F-4B9D-B3A3-1AC24FFE3A2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5E7CD-1EDA-46A9-9F11-D6BDB714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701A48E4</Template>
  <TotalTime>198</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33</cp:revision>
  <cp:lastPrinted>2019-05-09T09:09:00Z</cp:lastPrinted>
  <dcterms:created xsi:type="dcterms:W3CDTF">2019-12-27T15:11:00Z</dcterms:created>
  <dcterms:modified xsi:type="dcterms:W3CDTF">2020-01-16T16:42:00Z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